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BD3FB" w14:textId="77777777" w:rsidR="0007673E" w:rsidRDefault="00000000" w:rsidP="00FA5CAC">
      <w:pPr>
        <w:pStyle w:val="Title"/>
      </w:pPr>
      <w:r>
        <w:t>Differential effects of knapping skill acquisition on the cultural reproduction of Late Acheulean handaxe morphology: Archaeological and experimental insights</w:t>
      </w:r>
    </w:p>
    <w:p w14:paraId="46C02451" w14:textId="77777777" w:rsidR="0007673E" w:rsidRDefault="00000000" w:rsidP="00FA5CAC">
      <w:pPr>
        <w:pStyle w:val="Author"/>
      </w:pPr>
      <w:r>
        <w:t>Cheng Liu</w:t>
      </w:r>
      <w:r>
        <w:rPr>
          <w:rStyle w:val="FootnoteReference"/>
        </w:rPr>
        <w:footnoteReference w:id="1"/>
      </w:r>
    </w:p>
    <w:p w14:paraId="543E12FD" w14:textId="77777777" w:rsidR="0007673E" w:rsidRDefault="00000000" w:rsidP="00FA5CAC">
      <w:pPr>
        <w:pStyle w:val="Author"/>
      </w:pPr>
      <w:r>
        <w:t>Nada Khreisheh</w:t>
      </w:r>
      <w:r>
        <w:rPr>
          <w:rStyle w:val="FootnoteReference"/>
        </w:rPr>
        <w:footnoteReference w:id="2"/>
      </w:r>
    </w:p>
    <w:p w14:paraId="6C6B4C66" w14:textId="77777777" w:rsidR="0007673E" w:rsidRDefault="00000000" w:rsidP="00FA5CAC">
      <w:pPr>
        <w:pStyle w:val="Author"/>
      </w:pPr>
      <w:r>
        <w:t>Dietrich Stout</w:t>
      </w:r>
      <w:r>
        <w:rPr>
          <w:rStyle w:val="FootnoteReference"/>
        </w:rPr>
        <w:footnoteReference w:id="3"/>
      </w:r>
    </w:p>
    <w:p w14:paraId="6B5ED2BF" w14:textId="77777777" w:rsidR="0007673E" w:rsidRDefault="00000000" w:rsidP="00FA5CAC">
      <w:pPr>
        <w:pStyle w:val="Author"/>
      </w:pPr>
      <w:r>
        <w:t>Justin Pargeter</w:t>
      </w:r>
      <w:r>
        <w:rPr>
          <w:rStyle w:val="FootnoteReference"/>
        </w:rPr>
        <w:footnoteReference w:id="4"/>
      </w:r>
    </w:p>
    <w:p w14:paraId="6AEA09C6" w14:textId="50A9DBA0" w:rsidR="00FA5CAC" w:rsidRDefault="00FA5CAC" w:rsidP="00FA5CAC">
      <w:pPr>
        <w:pStyle w:val="Abstract"/>
        <w:jc w:val="both"/>
      </w:pPr>
      <w:r w:rsidRPr="00FA5CAC">
        <w:t>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knapping skill and mental templates. Integrating these two lines of literature into a broader theoretical framework of cultural reproduction, here we present new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differential effect in the cultural reproduction of different aspects of handaxe morphology. More specifically, compared with elongation and pointedness (PC2), cross-sectional thinning (PC1) is more constrained by knapping skill. Our findings thus shed new light on how the processes of skill learning can bias the cultural reproduction of artifact morphology</w:t>
      </w:r>
      <w:r>
        <w:t>.</w:t>
      </w:r>
      <w:r w:rsidR="00000000">
        <w:t xml:space="preserve"> </w:t>
      </w:r>
    </w:p>
    <w:p w14:paraId="2FC7E698" w14:textId="24E7C7D5" w:rsidR="0007673E" w:rsidRDefault="00000000" w:rsidP="00FA5CAC">
      <w:pPr>
        <w:pStyle w:val="Abstract"/>
        <w:jc w:val="both"/>
      </w:pPr>
      <w:r>
        <w:t>Late Acheulean; Handaxe morphology; Boxgrove; Experimental archaeology; Skill level; Mental template; Cultural transmission</w:t>
      </w:r>
    </w:p>
    <w:p w14:paraId="22E61CC7" w14:textId="77777777" w:rsidR="0007673E" w:rsidRDefault="00000000" w:rsidP="00FA5CAC">
      <w:pPr>
        <w:pStyle w:val="Heading1"/>
        <w:jc w:val="both"/>
      </w:pPr>
      <w:bookmarkStart w:id="0" w:name="introduction"/>
      <w:r>
        <w:t>Introduction</w:t>
      </w:r>
    </w:p>
    <w:p w14:paraId="70EAC3AD" w14:textId="77777777" w:rsidR="0007673E" w:rsidRDefault="00000000" w:rsidP="00FA5CAC">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 xml:space="preserve">Petraglia &amp; </w:t>
        </w:r>
        <w:r>
          <w:rPr>
            <w:rStyle w:val="Hyperlink"/>
          </w:rPr>
          <w:lastRenderedPageBreak/>
          <w:t>Korisettar, 1998</w:t>
        </w:r>
      </w:hyperlink>
      <w:r>
        <w:t xml:space="preserve">; </w:t>
      </w:r>
      <w:hyperlink w:anchor="ref-white1998">
        <w:r>
          <w:rPr>
            <w:rStyle w:val="Hyperlink"/>
          </w:rPr>
          <w:t>White, 1998</w:t>
        </w:r>
      </w:hyperlink>
      <w:r>
        <w:t xml:space="preserve">, </w:t>
      </w:r>
      <w:hyperlink w:anchor="ref-white2022">
        <w:r>
          <w:rPr>
            <w:rStyle w:val="Hyperlink"/>
          </w:rPr>
          <w:t>2022</w:t>
        </w:r>
      </w:hyperlink>
      <w:r>
        <w:t>). Despite the recurrent narrative emphasizing the 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Corbey, 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moncel2018a">
        <w:r>
          <w:rPr>
            <w:rStyle w:val="Hyperlink"/>
          </w:rPr>
          <w:t>Moncel et al., 2018b</w:t>
        </w:r>
      </w:hyperlink>
      <w:r>
        <w:t xml:space="preserve">, </w:t>
      </w:r>
      <w:hyperlink w:anchor="ref-moncel2018b">
        <w:r>
          <w:rPr>
            <w:rStyle w:val="Hyperlink"/>
          </w:rPr>
          <w:t>2018c</w:t>
        </w:r>
      </w:hyperlink>
      <w:r>
        <w:t xml:space="preserve">, </w:t>
      </w:r>
      <w:hyperlink w:anchor="ref-moncel2018c">
        <w:r>
          <w:rPr>
            <w:rStyle w:val="Hyperlink"/>
          </w:rPr>
          <w:t>2018a</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2014c</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knapping skill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w:t>
      </w:r>
    </w:p>
    <w:p w14:paraId="7961A554" w14:textId="77777777" w:rsidR="0007673E" w:rsidRDefault="00000000" w:rsidP="00FA5CAC">
      <w:pPr>
        <w:pStyle w:val="BodyText"/>
        <w:jc w:val="both"/>
      </w:pPr>
      <w:r>
        <w:t>Here we used experimental data from a multidisciplinary study of handaxe-making skill acquisition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to investigate the interaction between learning processes and the reproduction of specific morphological targets (c.f. “mental template”). This investigation was motivated by the theoretical expectation that, just as developmental processes can act to channel biological variation and shape evolutionary trajectories (</w:t>
      </w:r>
      <w:hyperlink w:anchor="ref-laland2015">
        <w:r>
          <w:rPr>
            <w:rStyle w:val="Hyperlink"/>
          </w:rPr>
          <w:t>Laland et al., 2015</w:t>
        </w:r>
      </w:hyperlink>
      <w:r>
        <w:t xml:space="preserve">), learning challenges might influence cultural evolutionary processes (e.g., </w:t>
      </w:r>
      <w:hyperlink w:anchor="ref-schillinger2014">
        <w:r>
          <w:rPr>
            <w:rStyle w:val="Hyperlink"/>
          </w:rPr>
          <w:t>Schillinger et al., 2014a</w:t>
        </w:r>
      </w:hyperlink>
      <w:r>
        <w:t>). Results allowed us to identify particular aspects of handaxe morphology that are more and less constrained by learning difficulty, thus helping to partition sources of morphological variation (</w:t>
      </w:r>
      <w:hyperlink w:anchor="ref-lycett2015">
        <w:r>
          <w:rPr>
            <w:rStyle w:val="Hyperlink"/>
          </w:rPr>
          <w:t>Lycett &amp; Cramon-Taubadel, 2015</w:t>
        </w:r>
      </w:hyperlink>
      <w:r>
        <w:t>). By comparing our experimental results to a large sample of handaxes from the site of Boxgrove, England, we were able to illustrate the use of this approach assess the presence and nature of culturally reproduced mental templates. This complements previous work investigated reduction intensity (</w:t>
      </w:r>
      <w:hyperlink w:anchor="ref-shipton2015">
        <w:r>
          <w:rPr>
            <w:rStyle w:val="Hyperlink"/>
          </w:rPr>
          <w:t>Shipton &amp; Clarkson, 2015</w:t>
        </w:r>
      </w:hyperlink>
      <w:r>
        <w:t>) and raw material form (</w:t>
      </w:r>
      <w:hyperlink w:anchor="ref-garcía-medrano2019">
        <w:r>
          <w:rPr>
            <w:rStyle w:val="Hyperlink"/>
          </w:rPr>
          <w:t>García-Medrano et al., 2019</w:t>
        </w:r>
      </w:hyperlink>
      <w:r>
        <w:t>) as alternative explanations for morphological variation and standardization at Boxgrove.</w:t>
      </w:r>
    </w:p>
    <w:p w14:paraId="32106D7F" w14:textId="77777777" w:rsidR="0007673E" w:rsidRDefault="00000000" w:rsidP="00FA5CAC">
      <w:pPr>
        <w:pStyle w:val="Heading2"/>
        <w:jc w:val="both"/>
      </w:pPr>
      <w:bookmarkStart w:id="1" w:name="mental-template"/>
      <w:r>
        <w:t>Mental template</w:t>
      </w:r>
    </w:p>
    <w:p w14:paraId="3B455CDB" w14:textId="77777777" w:rsidR="0007673E" w:rsidRDefault="00000000" w:rsidP="00FA5CAC">
      <w:pPr>
        <w:pStyle w:val="FirstParagraph"/>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xml:space="preserve">). Combined with the production of large flakes, the emergence of mental templates (or “imposed form”) has been </w:t>
      </w:r>
      <w:r>
        <w:lastRenderedPageBreak/>
        <w:t>recognized as a major technological innovation of the Acheulean compared with the Oldowan (</w:t>
      </w:r>
      <w:hyperlink w:anchor="ref-isaac1986">
        <w:r>
          <w:rPr>
            <w:rStyle w:val="Hyperlink"/>
          </w:rPr>
          <w:t>Isaac, 1986</w:t>
        </w:r>
      </w:hyperlink>
      <w:r>
        <w:t>). Importantly, this conception of a mental template as an idea or image transmitted between minds also echoes core assumptions of the more modern approach of cultural transmission theory (</w:t>
      </w:r>
      <w:hyperlink w:anchor="ref-eerkens2005">
        <w:r>
          <w:rPr>
            <w:rStyle w:val="Hyperlink"/>
          </w:rPr>
          <w:t>Eerkens &amp; Lipo, 2005</w:t>
        </w:r>
      </w:hyperlink>
      <w:r>
        <w:t xml:space="preserve">, </w:t>
      </w:r>
      <w:hyperlink w:anchor="ref-eerkens2007">
        <w:r>
          <w:rPr>
            <w:rStyle w:val="Hyperlink"/>
          </w:rPr>
          <w:t>2007</w:t>
        </w:r>
      </w:hyperlink>
      <w:r>
        <w:t>).</w:t>
      </w:r>
    </w:p>
    <w:p w14:paraId="6F080E7B" w14:textId="77777777" w:rsidR="0007673E" w:rsidRDefault="00000000" w:rsidP="00FA5CAC">
      <w:pPr>
        <w:pStyle w:val="BodyText"/>
        <w:jc w:val="both"/>
      </w:pPr>
      <w:r>
        <w:t>For a decade or so, the mental template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and c) 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A more recent approach has been to identify morphological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The major difference between the concepts of design imperatives and mental templates lies in the fact that the former does not necessarily require the presence of explicit internal representations of form, where the shape of handaxes can instead emerge “through the coalescence of ergonomic needs in the manipulation of large cutting tools (</w:t>
      </w:r>
      <w:hyperlink w:anchor="ref-wynn2021">
        <w:r>
          <w:rPr>
            <w:rStyle w:val="Hyperlink"/>
          </w:rPr>
          <w:t>Wynn, 2021</w:t>
        </w:r>
      </w:hyperlink>
      <w:r>
        <w:t>: 185).” Following this discussion, Kuhn (</w:t>
      </w:r>
      <w:hyperlink w:anchor="Xc74ac819f4358c995c42bb0c7f3176ac1dd2c4b">
        <w:r>
          <w:rPr>
            <w:rStyle w:val="Hyperlink"/>
          </w:rPr>
          <w:t>2020</w:t>
        </w:r>
      </w:hyperlink>
      <w:r>
        <w:t>: 168-170) developed a complimentary framework by explicitly identifying how different factors constrain the morphology of the design target, such as production constraint (raw materials) and functional constraint (mechanical and symbolic factors).</w:t>
      </w:r>
    </w:p>
    <w:p w14:paraId="2320651E" w14:textId="77777777" w:rsidR="0007673E" w:rsidRDefault="00000000" w:rsidP="00FA5CAC">
      <w:pPr>
        <w:pStyle w:val="BodyText"/>
        <w:jc w:val="both"/>
      </w:pPr>
      <w:r>
        <w:t>Current conceptions of a “mental template” are thus more nuanced than the idea of a fully specified image in the mind of the maker that is directly expressed in material form and transmitted between minds. For example, Hutchence and Scott (</w:t>
      </w:r>
      <w:hyperlink w:anchor="ref-hutchence2021">
        <w:r>
          <w:rPr>
            <w:rStyle w:val="Hyperlink"/>
          </w:rPr>
          <w:t>2021</w:t>
        </w:r>
      </w:hyperlink>
      <w:r>
        <w:t>), leveraged the theory of “community of practice” (</w:t>
      </w:r>
      <w:hyperlink w:anchor="ref-wenger1998">
        <w:r>
          <w:rPr>
            <w:rStyle w:val="Hyperlink"/>
          </w:rPr>
          <w:t>Wenger, 1998</w:t>
        </w:r>
      </w:hyperlink>
      <w:r>
        <w:t>) 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xml:space="preserve">: 656-657) also suggested that these random experiments cannot produce “attributes like the congruent symmetries of handaxes seen in the Late Acheulean.” In short, when exercised with proper caution, the concept of mental templates still has its value in our study of handaxe morphological variation, which can be further dissected into a series of shape </w:t>
      </w:r>
      <w:r>
        <w:lastRenderedPageBreak/>
        <w:t>variables corresponding to pointedness, elongation, and cross-sectional thinning among other things.</w:t>
      </w:r>
    </w:p>
    <w:p w14:paraId="2CD4010C" w14:textId="77777777" w:rsidR="0007673E" w:rsidRDefault="00000000" w:rsidP="00FA5CAC">
      <w:pPr>
        <w:pStyle w:val="BodyText"/>
        <w:jc w:val="both"/>
      </w:pPr>
      <w:r>
        <w:t>In short, contemporary approaches to the concept of a mental template emphasize the causal importance of production process and constraints and the interaction between individual and group level phenomena. We again note the striking similarity of the perspectives to the concept of “constructive development” as a source of guided variation in evolution biology (</w:t>
      </w:r>
      <w:hyperlink w:anchor="ref-laland2015">
        <w:r>
          <w:rPr>
            <w:rStyle w:val="Hyperlink"/>
          </w:rPr>
          <w:t>Laland et al., 2015</w:t>
        </w:r>
      </w:hyperlink>
      <w:r>
        <w:t>). We thus sought to further develop these perspectives by directly investigating the effects of learning difficulty and skill acquisition on the reproduction of experimentally controlled design targets.</w:t>
      </w:r>
    </w:p>
    <w:p w14:paraId="5C38F855" w14:textId="77777777" w:rsidR="0007673E" w:rsidRDefault="00000000" w:rsidP="00FA5CAC">
      <w:pPr>
        <w:pStyle w:val="Heading2"/>
        <w:jc w:val="both"/>
      </w:pPr>
      <w:bookmarkStart w:id="2" w:name="knapping-skill"/>
      <w:bookmarkEnd w:id="1"/>
      <w:r>
        <w:t>Knapping skill</w:t>
      </w:r>
    </w:p>
    <w:p w14:paraId="109BBFF4" w14:textId="77777777" w:rsidR="0007673E" w:rsidRDefault="00000000" w:rsidP="00FA5CAC">
      <w:pPr>
        <w:pStyle w:val="FirstParagraph"/>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At the same time, however, researchers have also pointed out that the technological choices defining a particular metal template may themselves be shaped by learning challenges and costs (</w:t>
      </w:r>
      <w:hyperlink w:anchor="ref-henrich2015">
        <w:r>
          <w:rPr>
            <w:rStyle w:val="Hyperlink"/>
          </w:rPr>
          <w:t>Henrich, 2015</w:t>
        </w:r>
      </w:hyperlink>
      <w:r>
        <w:t xml:space="preserve">; </w:t>
      </w:r>
      <w:hyperlink w:anchor="ref-roux1990">
        <w:r>
          <w:rPr>
            <w:rStyle w:val="Hyperlink"/>
          </w:rPr>
          <w:t>Roux, 1990</w:t>
        </w:r>
      </w:hyperlink>
      <w:r>
        <w:t>), implying the possibility of skill development as a constraint factor on artifact form that is not highlighted even in comprehensive literature review on this topic (</w:t>
      </w:r>
      <w:hyperlink w:anchor="Xc74ac819f4358c995c42bb0c7f3176ac1dd2c4b">
        <w:r>
          <w:rPr>
            <w:rStyle w:val="Hyperlink"/>
          </w:rPr>
          <w:t>Kuhn, 2020</w:t>
        </w:r>
      </w:hyperlink>
      <w:r>
        <w:t>: 168-170).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Connolly &amp; 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w:t>
      </w:r>
    </w:p>
    <w:p w14:paraId="421FBCC5" w14:textId="77777777" w:rsidR="0007673E" w:rsidRDefault="00000000" w:rsidP="00FA5CAC">
      <w:pPr>
        <w:pStyle w:val="BodyText"/>
        <w:jc w:val="both"/>
      </w:pPr>
      <w:r>
        <w:t>When contextual information is less readily available as in the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almost applied in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xml:space="preserve">; </w:t>
      </w:r>
      <w:hyperlink w:anchor="ref-whittaker2004">
        <w:r>
          <w:rPr>
            <w:rStyle w:val="Hyperlink"/>
          </w:rPr>
          <w:t>Whittaker, 2004</w:t>
        </w:r>
      </w:hyperlink>
      <w:r>
        <w:t xml:space="preserve">: 180-182) have been frequently quoted as reliable and distinctive indicators of the skill level as supported by several experimental studies. These two features </w:t>
      </w:r>
      <w:r>
        <w:lastRenderedPageBreak/>
        <w:t>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5699B632" w14:textId="77777777" w:rsidR="0007673E" w:rsidRDefault="00000000" w:rsidP="00FA5CAC">
      <w:pPr>
        <w:pStyle w:val="Heading2"/>
        <w:jc w:val="both"/>
      </w:pPr>
      <w:bookmarkStart w:id="3" w:name="cultural-reproduction"/>
      <w:bookmarkEnd w:id="2"/>
      <w:r>
        <w:t>Cultural reproduction</w:t>
      </w:r>
    </w:p>
    <w:p w14:paraId="61EF73D4" w14:textId="77777777" w:rsidR="0007673E" w:rsidRDefault="00000000" w:rsidP="00FA5CAC">
      <w:pPr>
        <w:pStyle w:val="FirstParagraph"/>
        <w:jc w:val="both"/>
      </w:pPr>
      <w:r>
        <w:t>The cultural reproduction, or transmission as it is commonly termed in the cultural evolutionary literature (</w:t>
      </w:r>
      <w:hyperlink w:anchor="ref-eerkens2005">
        <w:r>
          <w:rPr>
            <w:rStyle w:val="Hyperlink"/>
          </w:rPr>
          <w:t>Eerkens &amp; Lipo, 2005</w:t>
        </w:r>
      </w:hyperlink>
      <w:r>
        <w:t xml:space="preserve">, </w:t>
      </w:r>
      <w:hyperlink w:anchor="ref-eerkens2007">
        <w:r>
          <w:rPr>
            <w:rStyle w:val="Hyperlink"/>
          </w:rPr>
          <w:t>2007</w:t>
        </w:r>
      </w:hyperlink>
      <w:r>
        <w:t>), of mental templates and production skills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 (</w:t>
      </w:r>
      <w:hyperlink w:anchor="ref-schillingerConsideringRoleTime2014">
        <w:r>
          <w:rPr>
            <w:rStyle w:val="Hyperlink"/>
          </w:rPr>
          <w:t>Schillinger et al., 2014c</w:t>
        </w:r>
      </w:hyperlink>
      <w:r>
        <w:t xml:space="preserve">, </w:t>
      </w:r>
      <w:hyperlink w:anchor="ref-schillinger2017">
        <w:r>
          <w:rPr>
            <w:rStyle w:val="Hyperlink"/>
          </w:rPr>
          <w:t>2017</w:t>
        </w:r>
      </w:hyperlink>
      <w:r>
        <w:t xml:space="preserve">, </w:t>
      </w:r>
      <w:hyperlink w:anchor="ref-schillinger2015">
        <w:r>
          <w:rPr>
            <w:rStyle w:val="Hyperlink"/>
          </w:rPr>
          <w:t>2015</w:t>
        </w:r>
      </w:hyperlink>
      <w:r>
        <w:t>), while how knapping skill as another source of variation is reproduced during the learning process and how it moderates the material manifestation of mental templates has been rarely discussed. The complexity of this issue is further exemplified by the fact that motor skills like knapping cannot be simply learned through observation but must be reconstructed through individual practice using supportive material in social contexts (</w:t>
      </w:r>
      <w:hyperlink w:anchor="ref-stout2017">
        <w:r>
          <w:rPr>
            <w:rStyle w:val="Hyperlink"/>
          </w:rPr>
          <w:t>Stout &amp; Hecht, 2017</w:t>
        </w:r>
      </w:hyperlink>
      <w:r>
        <w:t>). The ignorance of this factor becomes one of motivations behind our terminological choice of “reproduction” over “transmission”, where the former implies more than just the copying of an static image with information loss (</w:t>
      </w:r>
      <w:hyperlink w:anchor="ref-liu2022">
        <w:r>
          <w:rPr>
            <w:rStyle w:val="Hyperlink"/>
          </w:rPr>
          <w:t>Liu &amp; Stout, 2022</w:t>
        </w:r>
      </w:hyperlink>
      <w:r>
        <w:t xml:space="preserve">; </w:t>
      </w:r>
      <w:hyperlink w:anchor="ref-stout2021a">
        <w:r>
          <w:rPr>
            <w:rStyle w:val="Hyperlink"/>
          </w:rPr>
          <w:t>Stout, 2021</w:t>
        </w:r>
      </w:hyperlink>
      <w:r>
        <w:t>). As we stated earlier, this reframing essentially echoes the stance of extended evolutionary synthesis (EES) on inclusive inheritance that phenotypes are not inherited but reconstructed in development (</w:t>
      </w:r>
      <w:hyperlink w:anchor="ref-laland2015">
        <w:r>
          <w:rPr>
            <w:rStyle w:val="Hyperlink"/>
          </w:rPr>
          <w:t>Laland et al., 2015</w:t>
        </w:r>
      </w:hyperlink>
      <w:r>
        <w:t>: 5), which has also received more attention recently in the domain of cultural evolution (</w:t>
      </w:r>
      <w:hyperlink w:anchor="ref-charbonneau2022">
        <w:r>
          <w:rPr>
            <w:rStyle w:val="Hyperlink"/>
          </w:rPr>
          <w:t>Charbonneau &amp; Strachan, 2022</w:t>
        </w:r>
      </w:hyperlink>
      <w:r>
        <w:t xml:space="preserve">; </w:t>
      </w:r>
      <w:hyperlink w:anchor="ref-strachan2021">
        <w:r>
          <w:rPr>
            <w:rStyle w:val="Hyperlink"/>
          </w:rPr>
          <w:t>Strachan et al., 2021</w:t>
        </w:r>
      </w:hyperlink>
      <w:r>
        <w:t>).</w:t>
      </w:r>
    </w:p>
    <w:p w14:paraId="3A3B79C9" w14:textId="77777777" w:rsidR="0007673E" w:rsidRDefault="00000000" w:rsidP="00FA5CAC">
      <w:pPr>
        <w:pStyle w:val="BodyText"/>
        <w:jc w:val="both"/>
      </w:pPr>
      <w:r>
        <w:t>Centering around the concept of cultural reproduction, we aim to explore the possibility of dissecting the interaction of knapping skill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w:t>
      </w:r>
    </w:p>
    <w:p w14:paraId="16BBF1D5" w14:textId="77777777" w:rsidR="0007673E" w:rsidRDefault="00000000" w:rsidP="00FA5CAC">
      <w:pPr>
        <w:pStyle w:val="BlockText"/>
        <w:jc w:val="both"/>
      </w:pPr>
      <w:r>
        <w:t xml:space="preserve">Do the processes of skill learning in a lithic medium exert any biases on the cultural reproduction of artifact morphology? To answer this question, we first applied multivariate analysis of handaxe morphometric data to identify different components of morphological variation. Our study has the following three assumptions: 1) Boxgrove, expert, and novice assemblages should have a common design target (mental template) as Boxgrove is designated as the model before the training; 2) The morphometric variables showing overlap between Boxgrove and expert samples while being markedly different from novice samples reflect different level of knapping skill; 3) Throughout the training the novice samples should become more similar to expert samples in both knapping skill and mental template, but the acquisition of the former aspect will be more challenging and thereby constraining the latter aspect. The third assumption here is particularly </w:t>
      </w:r>
      <w:r>
        <w:lastRenderedPageBreak/>
        <w:t>informed by the previous study of Pargeter et al. (</w:t>
      </w:r>
      <w:hyperlink w:anchor="ref-pargeter2020">
        <w:r>
          <w:rPr>
            <w:rStyle w:val="Hyperlink"/>
          </w:rPr>
          <w:t>2020</w:t>
        </w:r>
      </w:hyperlink>
      <w:r>
        <w:t>) showing that in handaxe manufacture novices’ predictions of the contour of flakes to be removed are highly similar to those of expert knappers, while novices do not have the right forces and accuracy to successfully remove their target flakes to produce a nice handaxe.</w:t>
      </w:r>
    </w:p>
    <w:p w14:paraId="43393BBD" w14:textId="77777777" w:rsidR="0007673E" w:rsidRDefault="00000000" w:rsidP="00FA5CAC">
      <w:pPr>
        <w:pStyle w:val="Heading1"/>
        <w:jc w:val="both"/>
      </w:pPr>
      <w:bookmarkStart w:id="4" w:name="materials-and-methods"/>
      <w:bookmarkEnd w:id="0"/>
      <w:bookmarkEnd w:id="3"/>
      <w:r>
        <w:t>Materials and methods</w:t>
      </w:r>
    </w:p>
    <w:p w14:paraId="05B5A6D1" w14:textId="77777777" w:rsidR="0007673E" w:rsidRDefault="00000000" w:rsidP="00FA5CAC">
      <w:pPr>
        <w:pStyle w:val="Heading2"/>
        <w:jc w:val="both"/>
      </w:pPr>
      <w:bookmarkStart w:id="5" w:name="boxgrove-handaxe-collection"/>
      <w:r>
        <w:t>Boxgrove handaxe collection</w:t>
      </w:r>
    </w:p>
    <w:p w14:paraId="24CD5BA5" w14:textId="77777777" w:rsidR="0007673E" w:rsidRDefault="00000000" w:rsidP="00FA5CAC">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and their paleoenvironmental contexts (</w:t>
      </w:r>
      <w:hyperlink w:anchor="ref-holmes2010">
        <w:r>
          <w:rPr>
            <w:rStyle w:val="Hyperlink"/>
          </w:rPr>
          <w:t>Holmes et al., 2010</w:t>
        </w:r>
      </w:hyperlink>
      <w:r>
        <w:t xml:space="preserve">; </w:t>
      </w:r>
      <w:hyperlink w:anchor="ref-preece2022">
        <w:r>
          <w:rPr>
            <w:rStyle w:val="Hyperlink"/>
          </w:rPr>
          <w:t>Preece &amp; Parfitt, 2022</w:t>
        </w:r>
      </w:hyperlink>
      <w:r>
        <w:t xml:space="preserve">). In addition to the presence of one of the earliest hominin fossil (tentatively assigned to </w:t>
      </w:r>
      <w:r>
        <w:rPr>
          <w:i/>
          <w:iCs/>
        </w:rPr>
        <w:t>Homo heidelbergensis</w:t>
      </w:r>
      <w:r>
        <w:t xml:space="preserve">, </w:t>
      </w:r>
      <w:hyperlink w:anchor="ref-hillson2010">
        <w:r>
          <w:rPr>
            <w:rStyle w:val="Hyperlink"/>
          </w:rPr>
          <w:t>Hillson et al., 2010</w:t>
        </w:r>
      </w:hyperlink>
      <w:r>
        <w:t xml:space="preserve">; </w:t>
      </w:r>
      <w:hyperlink w:anchor="ref-lockey2022">
        <w:r>
          <w:rPr>
            <w:rStyle w:val="Hyperlink"/>
          </w:rPr>
          <w:t>Lockey et al., 2022</w:t>
        </w:r>
      </w:hyperlink>
      <w:r>
        <w:t xml:space="preserve">; </w:t>
      </w:r>
      <w:hyperlink w:anchor="ref-roberts1994">
        <w:r>
          <w:rPr>
            <w:rStyle w:val="Hyperlink"/>
          </w:rPr>
          <w:t>Roberts et al., 1994</w:t>
        </w:r>
      </w:hyperlink>
      <w:r>
        <w:t>) and bone assemblages with anthropogenic modifications in northern Europe (</w:t>
      </w:r>
      <w:hyperlink w:anchor="ref-bello2009">
        <w:r>
          <w:rPr>
            <w:rStyle w:val="Hyperlink"/>
          </w:rPr>
          <w:t>Bello et al., 2009</w:t>
        </w:r>
      </w:hyperlink>
      <w:r>
        <w:t>), Boxgrove is mostly known for its large sample size of Late Acheulean-style flint handaxes and the high knapping skill level reflected in their manufacture (</w:t>
      </w:r>
      <w:r>
        <w:rPr>
          <w:b/>
          <w:bCs/>
        </w:rPr>
        <w:t>Figure</w:t>
      </w:r>
      <w:r>
        <w:t xml:space="preserve"> @ref(fig:photos)).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Iovita &amp; McPherron, 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754199DC" w14:textId="77777777" w:rsidR="0007673E" w:rsidRDefault="00000000" w:rsidP="00FA5CAC">
      <w:pPr>
        <w:pStyle w:val="CaptionedFigure"/>
        <w:jc w:val="both"/>
      </w:pPr>
      <w:r>
        <w:rPr>
          <w:noProof/>
        </w:rPr>
        <w:lastRenderedPageBreak/>
        <w:drawing>
          <wp:inline distT="0" distB="0" distL="0" distR="0" wp14:anchorId="689A49C9" wp14:editId="143781F5">
            <wp:extent cx="4367561" cy="7724078"/>
            <wp:effectExtent l="0" t="0" r="0" b="0"/>
            <wp:docPr id="33"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4" name="Picture" descr="C:/FilesVC/Boxgrove-Exp/figure/Fig1.jpg"/>
                    <pic:cNvPicPr>
                      <a:picLocks noChangeAspect="1" noChangeArrowheads="1"/>
                    </pic:cNvPicPr>
                  </pic:nvPicPr>
                  <pic:blipFill>
                    <a:blip r:embed="rId7"/>
                    <a:stretch>
                      <a:fillRect/>
                    </a:stretch>
                  </pic:blipFill>
                  <pic:spPr bwMode="auto">
                    <a:xfrm>
                      <a:off x="0" y="0"/>
                      <a:ext cx="4370303" cy="7728928"/>
                    </a:xfrm>
                    <a:prstGeom prst="rect">
                      <a:avLst/>
                    </a:prstGeom>
                    <a:noFill/>
                    <a:ln w="9525">
                      <a:noFill/>
                      <a:headEnd/>
                      <a:tailEnd/>
                    </a:ln>
                  </pic:spPr>
                </pic:pic>
              </a:graphicData>
            </a:graphic>
          </wp:inline>
        </w:drawing>
      </w:r>
    </w:p>
    <w:p w14:paraId="70B893B7" w14:textId="77777777" w:rsidR="0007673E" w:rsidRDefault="00000000" w:rsidP="00FA5CAC">
      <w:pPr>
        <w:pStyle w:val="ImageCaption"/>
        <w:jc w:val="both"/>
      </w:pPr>
      <w:r>
        <w:t>A selection of Boxgrove handaxes and modern replicas produced by experts and novices.</w:t>
      </w:r>
    </w:p>
    <w:p w14:paraId="7407CAFD" w14:textId="77777777" w:rsidR="0007673E" w:rsidRDefault="00000000" w:rsidP="00FA5CAC">
      <w:pPr>
        <w:pStyle w:val="Heading2"/>
        <w:jc w:val="both"/>
      </w:pPr>
      <w:bookmarkStart w:id="6" w:name="experimental-handaxe-collection"/>
      <w:bookmarkEnd w:id="5"/>
      <w:r>
        <w:lastRenderedPageBreak/>
        <w:t>Experimental handaxe collection</w:t>
      </w:r>
    </w:p>
    <w:p w14:paraId="6A034152" w14:textId="77777777" w:rsidR="0007673E" w:rsidRDefault="00000000" w:rsidP="00FA5CAC">
      <w:pPr>
        <w:pStyle w:val="FirstParagraph"/>
        <w:jc w:val="both"/>
      </w:pPr>
      <w:r>
        <w:t>The handaxe experimental replicas used in this study comprised two sub-collection (</w:t>
      </w:r>
      <w:r>
        <w:rPr>
          <w:b/>
          <w:bCs/>
        </w:rPr>
        <w:t>Figure</w:t>
      </w:r>
      <w:r>
        <w:t xml:space="preserve"> @ref(fig:photos)).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19EDD8E8" w14:textId="77777777" w:rsidR="0007673E" w:rsidRDefault="00000000" w:rsidP="00FA5CAC">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prepared by Bruce Bradley, which are part of our expert sample as described above. Training was provided by verbal instruction and support from the second author, an experienced knapping instructor (</w:t>
      </w:r>
      <w:hyperlink w:anchor="ref-khreisheh2013">
        <w:r>
          <w:rPr>
            <w:rStyle w:val="Hyperlink"/>
          </w:rPr>
          <w:t>Khreisheh et al., 2013</w:t>
        </w:r>
      </w:hyperlink>
      <w:r>
        <w:t>)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54A70842" w14:textId="77777777" w:rsidR="0007673E" w:rsidRDefault="00000000" w:rsidP="00FA5CAC">
      <w:pPr>
        <w:pStyle w:val="BodyText"/>
        <w:jc w:val="both"/>
      </w:pPr>
      <w:r>
        <w:t>Subsequently, the 17 participants in the experimental group were assessed after every ten hours of the cumulative learning period, where each of them was requested to produce a handaxe for instructor’s (N. Khreisheh) review, leading to the compilation of a data set composing 9 assessments in total. It should be also noted that 6 out of 17 participants dropped out of the research before the final assessment due to personal reasons. To understand the effect of skill acquisition on artifact morphology, we reorganized our assessment classification scheme and combined it into three broader categories, namely pre-</w:t>
      </w:r>
      <w:r>
        <w:lastRenderedPageBreak/>
        <w:t>training (assessment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26F4ACDC" w14:textId="77777777" w:rsidR="0007673E" w:rsidRDefault="00000000" w:rsidP="00FA5CAC">
      <w:pPr>
        <w:pStyle w:val="Heading2"/>
        <w:jc w:val="both"/>
      </w:pPr>
      <w:bookmarkStart w:id="7" w:name="lithic-analysis"/>
      <w:bookmarkEnd w:id="6"/>
      <w:r>
        <w:t>Lithic analysis</w:t>
      </w:r>
    </w:p>
    <w:p w14:paraId="13984872" w14:textId="77777777" w:rsidR="0007673E" w:rsidRDefault="00000000" w:rsidP="00FA5CAC">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to measure the maximum length, width, and thickness of a given silhouette. The width and thickness measurements are taken at 10% increments of length starting at the tip of each handaxe (</w:t>
      </w:r>
      <w:r>
        <w:rPr>
          <w:b/>
          <w:bCs/>
        </w:rPr>
        <w:t>Figure</w:t>
      </w:r>
      <w:r>
        <w:t xml:space="preserve"> @ref(fig:ImageJ)),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541FECB1" w14:textId="77777777" w:rsidR="0007673E" w:rsidRDefault="00000000" w:rsidP="00FA5CAC">
      <w:pPr>
        <w:pStyle w:val="CaptionedFigure"/>
        <w:jc w:val="both"/>
      </w:pPr>
      <w:r>
        <w:rPr>
          <w:noProof/>
        </w:rPr>
        <w:drawing>
          <wp:inline distT="0" distB="0" distL="0" distR="0" wp14:anchorId="5C657E4A" wp14:editId="3CAABB72">
            <wp:extent cx="3013398" cy="2723354"/>
            <wp:effectExtent l="0" t="0" r="0" b="0"/>
            <wp:docPr id="39"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40"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67C833BD" w14:textId="77777777" w:rsidR="0007673E" w:rsidRDefault="00000000" w:rsidP="00FA5CAC">
      <w:pPr>
        <w:pStyle w:val="ImageCaption"/>
        <w:jc w:val="both"/>
      </w:pPr>
      <w:r>
        <w:t>A visual demonstration of the handaxe measurement protocol using Image J (after Pargeter et al. 2019: Figure 5).</w:t>
      </w:r>
    </w:p>
    <w:p w14:paraId="0675DA04" w14:textId="77777777" w:rsidR="0007673E" w:rsidRDefault="00000000" w:rsidP="00FA5CAC">
      <w:pPr>
        <w:pStyle w:val="Heading2"/>
        <w:jc w:val="both"/>
      </w:pPr>
      <w:bookmarkStart w:id="8" w:name="statistical-analyses"/>
      <w:bookmarkEnd w:id="7"/>
      <w:r>
        <w:lastRenderedPageBreak/>
        <w:t>Statistical analyses</w:t>
      </w:r>
    </w:p>
    <w:p w14:paraId="723984B2" w14:textId="77777777" w:rsidR="0007673E" w:rsidRDefault="00000000" w:rsidP="00FA5CAC">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understand the process of skill learning of novices using the Boxgrove and expert samples as benchmarks,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which makes it particularly suitable for this study as the sample size of expert experimental collection is rather small.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23A4982D" w14:textId="77777777" w:rsidR="0007673E" w:rsidRDefault="00000000" w:rsidP="00FA5CAC">
      <w:pPr>
        <w:pStyle w:val="Heading1"/>
        <w:jc w:val="both"/>
      </w:pPr>
      <w:bookmarkStart w:id="9" w:name="results"/>
      <w:bookmarkEnd w:id="4"/>
      <w:bookmarkEnd w:id="8"/>
      <w:r>
        <w:t>Results</w:t>
      </w:r>
    </w:p>
    <w:p w14:paraId="7C6EC565" w14:textId="77777777" w:rsidR="0007673E" w:rsidRDefault="00000000" w:rsidP="00FA5CAC">
      <w:pPr>
        <w:pStyle w:val="Heading2"/>
        <w:jc w:val="both"/>
      </w:pPr>
      <w:bookmarkStart w:id="10" w:name="principal-component-analysis"/>
      <w:r>
        <w:t>Principal component analysis</w:t>
      </w:r>
    </w:p>
    <w:p w14:paraId="4097A5BC" w14:textId="77777777" w:rsidR="0007673E" w:rsidRDefault="00000000" w:rsidP="00FA5CAC">
      <w:pPr>
        <w:pStyle w:val="FirstParagraph"/>
        <w:jc w:val="both"/>
      </w:pPr>
      <w:r>
        <w:t>Our analysis suggested that the first two components already explain 77.2% of the variation for the entire morphometric data set composed of 19 variables (</w:t>
      </w:r>
      <w:r>
        <w:rPr>
          <w:b/>
          <w:bCs/>
        </w:rPr>
        <w:t>Figure</w:t>
      </w:r>
      <w:r>
        <w:t xml:space="preserve"> @ref(fig:Screeplot)), which is a rather reasonable variance ratio to avoid overfitting. Variable loadings (</w:t>
      </w:r>
      <w:r>
        <w:rPr>
          <w:b/>
          <w:bCs/>
        </w:rPr>
        <w:t>Table</w:t>
      </w:r>
      <w:r>
        <w:t xml:space="preserve"> @ref(tab:tab1)) indicate that the first principal component (PC1) captures relative cross-sectional thickness (“refinement”).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14:paraId="14BDE275" w14:textId="77777777" w:rsidR="0007673E" w:rsidRDefault="00000000" w:rsidP="00FA5CAC">
      <w:pPr>
        <w:pStyle w:val="CaptionedFigure"/>
        <w:jc w:val="both"/>
      </w:pPr>
      <w:r>
        <w:rPr>
          <w:noProof/>
        </w:rPr>
        <w:lastRenderedPageBreak/>
        <w:drawing>
          <wp:inline distT="0" distB="0" distL="0" distR="0" wp14:anchorId="7CE5D7BB" wp14:editId="1892208A">
            <wp:extent cx="5943600" cy="3941796"/>
            <wp:effectExtent l="0" t="0" r="0" b="0"/>
            <wp:docPr id="46"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3.png"/>
                    <pic:cNvPicPr>
                      <a:picLocks noChangeAspect="1" noChangeArrowheads="1"/>
                    </pic:cNvPicPr>
                  </pic:nvPicPr>
                  <pic:blipFill>
                    <a:blip r:embed="rId11"/>
                    <a:stretch>
                      <a:fillRect/>
                    </a:stretch>
                  </pic:blipFill>
                  <pic:spPr bwMode="auto">
                    <a:xfrm>
                      <a:off x="0" y="0"/>
                      <a:ext cx="5943600" cy="3941796"/>
                    </a:xfrm>
                    <a:prstGeom prst="rect">
                      <a:avLst/>
                    </a:prstGeom>
                    <a:noFill/>
                    <a:ln w="9525">
                      <a:noFill/>
                      <a:headEnd/>
                      <a:tailEnd/>
                    </a:ln>
                  </pic:spPr>
                </pic:pic>
              </a:graphicData>
            </a:graphic>
          </wp:inline>
        </w:drawing>
      </w:r>
    </w:p>
    <w:p w14:paraId="53A56F14" w14:textId="77777777" w:rsidR="0007673E" w:rsidRDefault="00000000" w:rsidP="00FA5CAC">
      <w:pPr>
        <w:pStyle w:val="ImageCaption"/>
        <w:jc w:val="both"/>
      </w:pPr>
      <w:r>
        <w:t>A scree plot showing the percentage of explained variances of the first 10 principal components.</w:t>
      </w:r>
    </w:p>
    <w:p w14:paraId="47786BEF" w14:textId="77777777" w:rsidR="0007673E" w:rsidRDefault="00000000" w:rsidP="00FA5CAC">
      <w:pPr>
        <w:pStyle w:val="BodyText"/>
        <w:jc w:val="both"/>
      </w:pPr>
      <w:r>
        <w:t>A closer look at the principal component scatter plot (</w:t>
      </w:r>
      <w:r>
        <w:rPr>
          <w:b/>
          <w:bCs/>
        </w:rPr>
        <w:t>Figure</w:t>
      </w:r>
      <w:r>
        <w:t xml:space="preserve"> @ref(fig:GeneralPCA1))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71D1847E" w14:textId="77777777" w:rsidR="0007673E" w:rsidRDefault="00000000" w:rsidP="00FA5CAC">
      <w:pPr>
        <w:pStyle w:val="CaptionedFigure"/>
        <w:jc w:val="both"/>
      </w:pPr>
      <w:r>
        <w:rPr>
          <w:noProof/>
        </w:rPr>
        <w:lastRenderedPageBreak/>
        <w:drawing>
          <wp:inline distT="0" distB="0" distL="0" distR="0" wp14:anchorId="38F70E7F" wp14:editId="78F3F919">
            <wp:extent cx="5614629" cy="4359810"/>
            <wp:effectExtent l="0" t="0" r="0" b="0"/>
            <wp:docPr id="49" name="Picture"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4.png"/>
                    <pic:cNvPicPr>
                      <a:picLocks noChangeAspect="1" noChangeArrowheads="1"/>
                    </pic:cNvPicPr>
                  </pic:nvPicPr>
                  <pic:blipFill>
                    <a:blip r:embed="rId12"/>
                    <a:stretch>
                      <a:fillRect/>
                    </a:stretch>
                  </pic:blipFill>
                  <pic:spPr bwMode="auto">
                    <a:xfrm>
                      <a:off x="0" y="0"/>
                      <a:ext cx="5614629" cy="4359810"/>
                    </a:xfrm>
                    <a:prstGeom prst="rect">
                      <a:avLst/>
                    </a:prstGeom>
                    <a:noFill/>
                    <a:ln w="9525">
                      <a:noFill/>
                      <a:headEnd/>
                      <a:tailEnd/>
                    </a:ln>
                  </pic:spPr>
                </pic:pic>
              </a:graphicData>
            </a:graphic>
          </wp:inline>
        </w:drawing>
      </w:r>
    </w:p>
    <w:p w14:paraId="0DD4B95B" w14:textId="77777777" w:rsidR="0007673E" w:rsidRDefault="00000000" w:rsidP="00FA5CAC">
      <w:pPr>
        <w:pStyle w:val="ImageCaption"/>
        <w:jc w:val="both"/>
      </w:pPr>
      <w:r>
        <w:t>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14:paraId="34D79AF8" w14:textId="77777777" w:rsidR="0007673E" w:rsidRDefault="00000000" w:rsidP="00FA5CAC">
      <w:pPr>
        <w:pStyle w:val="BodyText"/>
        <w:jc w:val="both"/>
      </w:pPr>
      <w:r>
        <w:t>In addition, visual inspection of the principle component scatter plot (</w:t>
      </w:r>
      <w:r>
        <w:rPr>
          <w:b/>
          <w:bCs/>
        </w:rPr>
        <w:t>Figure</w:t>
      </w:r>
      <w:r>
        <w:t xml:space="preserve"> @ref(fig:GeneralPCA1)) suggested that PC1 and PC2 might be negatively correlated within the Boxgrove and Expert groups. To test this intuition, we conducted a series of exploratory plotting and statistical analyses of the PC values of three groups analyzed in our analysis (</w:t>
      </w:r>
      <w:r>
        <w:rPr>
          <w:b/>
          <w:bCs/>
        </w:rPr>
        <w:t>Figure</w:t>
      </w:r>
      <w:r>
        <w:t xml:space="preserve"> @ref(fig:PCcorrelation)). Across all three groups, a negative correlation has been displayed between the PC1 and PC2 values, although this trend is not statistically significant (r=-0.41, p= 0.24) in the expert group, probably because of its small sample size.</w:t>
      </w:r>
    </w:p>
    <w:p w14:paraId="4E60FDCD" w14:textId="77777777" w:rsidR="0007673E" w:rsidRDefault="00000000" w:rsidP="00FA5CAC">
      <w:pPr>
        <w:pStyle w:val="CaptionedFigure"/>
        <w:jc w:val="both"/>
      </w:pPr>
      <w:r>
        <w:rPr>
          <w:noProof/>
        </w:rPr>
        <w:lastRenderedPageBreak/>
        <w:drawing>
          <wp:inline distT="0" distB="0" distL="0" distR="0" wp14:anchorId="42A8218D" wp14:editId="471C0699">
            <wp:extent cx="5943600" cy="2971800"/>
            <wp:effectExtent l="0" t="0" r="0" b="0"/>
            <wp:docPr id="52"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3" name="Picture" descr="C:/FilesVC/Boxgrove-Exp/figure/Fig5.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79F575EA" w14:textId="77777777" w:rsidR="0007673E" w:rsidRDefault="00000000" w:rsidP="00FA5CAC">
      <w:pPr>
        <w:pStyle w:val="ImageCaption"/>
        <w:jc w:val="both"/>
      </w:pPr>
      <w: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58B9870B" w14:textId="77777777" w:rsidR="0007673E" w:rsidRDefault="00000000" w:rsidP="00FA5CAC">
      <w:pPr>
        <w:pStyle w:val="Heading2"/>
        <w:jc w:val="both"/>
      </w:pPr>
      <w:bookmarkStart w:id="11" w:name="effects-of-skill-acquisition"/>
      <w:bookmarkEnd w:id="10"/>
      <w:r>
        <w:t>Effects of skill acquisition</w:t>
      </w:r>
    </w:p>
    <w:p w14:paraId="607EA6B5" w14:textId="77777777" w:rsidR="0007673E" w:rsidRDefault="00000000" w:rsidP="00FA5CAC">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Pr>
          <w:b/>
          <w:bCs/>
        </w:rPr>
        <w:t>Figure</w:t>
      </w:r>
      <w:r>
        <w:t xml:space="preserve"> @ref(fig:PCA1)), the only two group comparisons that are not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Pr>
          <w:b/>
          <w:bCs/>
        </w:rPr>
        <w:t>Figure</w:t>
      </w:r>
      <w:r>
        <w:t xml:space="preserve"> @ref(fig:PCA2)),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Additionally, the pairwise comparisons of mean PC2 values between the Early training and Expert (</w:t>
      </w:r>
      <m:oMath>
        <m:r>
          <w:rPr>
            <w:rFonts w:ascii="Cambria Math" w:hAnsi="Cambria Math"/>
          </w:rPr>
          <m:t>t</m:t>
        </m:r>
        <m:r>
          <m:rPr>
            <m:sty m:val="p"/>
          </m:rPr>
          <w:rPr>
            <w:rFonts w:ascii="Cambria Math" w:hAnsi="Cambria Math"/>
          </w:rPr>
          <m:t>=-</m:t>
        </m:r>
        <m:r>
          <w:rPr>
            <w:rFonts w:ascii="Cambria Math" w:hAnsi="Cambria Math"/>
          </w:rPr>
          <m:t>3.5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between the Late training and Expert (</w:t>
      </w:r>
      <m:oMath>
        <m:r>
          <w:rPr>
            <w:rFonts w:ascii="Cambria Math" w:hAnsi="Cambria Math"/>
          </w:rPr>
          <m:t>t</m:t>
        </m:r>
        <m:r>
          <m:rPr>
            <m:sty m:val="p"/>
          </m:rPr>
          <w:rPr>
            <w:rFonts w:ascii="Cambria Math" w:hAnsi="Cambria Math"/>
          </w:rPr>
          <m:t>=-</m:t>
        </m:r>
        <m:r>
          <w:rPr>
            <w:rFonts w:ascii="Cambria Math" w:hAnsi="Cambria Math"/>
          </w:rPr>
          <m:t>3.68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are also not statistically significant.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0.82</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(thinning) and PC2 (pointedness), while the effects of training across different assessment periods on both dimensions are not significant. Interestingly, the post-training groups are very different from the expert group in the mean PC1 value, but not in the mean PC2 value. Regarding the delta weight of different groups, our analysis (</w:t>
      </w:r>
      <w:r>
        <w:rPr>
          <w:b/>
          <w:bCs/>
        </w:rPr>
        <w:t>Figure</w:t>
      </w:r>
      <w:r>
        <w:t xml:space="preserve"> @ref(fig:weight)) suggests that there is a significant difference </w:t>
      </w:r>
      <w:r>
        <w:lastRenderedPageBreak/>
        <w:t>between the pre-training group and Late training group, while all other pairwise group comparison results are insignificant. It can also be inferred that the expert group display a higher variability in terms of delta weight compared with novices.</w:t>
      </w:r>
    </w:p>
    <w:p w14:paraId="75CE554D" w14:textId="77777777" w:rsidR="0007673E" w:rsidRDefault="00000000" w:rsidP="00FA5CAC">
      <w:pPr>
        <w:pStyle w:val="CaptionedFigure"/>
        <w:jc w:val="both"/>
      </w:pPr>
      <w:r>
        <w:rPr>
          <w:noProof/>
        </w:rPr>
        <w:drawing>
          <wp:inline distT="0" distB="0" distL="0" distR="0" wp14:anchorId="1935F666" wp14:editId="463A603A">
            <wp:extent cx="5943600" cy="2971800"/>
            <wp:effectExtent l="0" t="0" r="0" b="0"/>
            <wp:docPr id="56"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6.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07AB6C3A" w14:textId="77777777" w:rsidR="0007673E" w:rsidRDefault="00000000" w:rsidP="00FA5CAC">
      <w:pPr>
        <w:pStyle w:val="ImageCaption"/>
        <w:jc w:val="both"/>
      </w:pPr>
      <w:r>
        <w:t>A between-group comparison of PC1 values.</w:t>
      </w:r>
    </w:p>
    <w:p w14:paraId="5663AD48" w14:textId="77777777" w:rsidR="0007673E" w:rsidRDefault="00000000" w:rsidP="00FA5CAC">
      <w:pPr>
        <w:pStyle w:val="CaptionedFigure"/>
        <w:jc w:val="both"/>
      </w:pPr>
      <w:r>
        <w:rPr>
          <w:noProof/>
        </w:rPr>
        <w:drawing>
          <wp:inline distT="0" distB="0" distL="0" distR="0" wp14:anchorId="488A5B40" wp14:editId="7EDB7958">
            <wp:extent cx="5943600" cy="2971800"/>
            <wp:effectExtent l="0" t="0" r="0" b="0"/>
            <wp:docPr id="59"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7.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14:paraId="48FB968C" w14:textId="77777777" w:rsidR="0007673E" w:rsidRDefault="00000000" w:rsidP="00FA5CAC">
      <w:pPr>
        <w:pStyle w:val="ImageCaption"/>
        <w:jc w:val="both"/>
      </w:pPr>
      <w:r>
        <w:t>A between-group comparison of PC2 values.</w:t>
      </w:r>
    </w:p>
    <w:p w14:paraId="76CB4835" w14:textId="77777777" w:rsidR="0007673E" w:rsidRDefault="00000000" w:rsidP="00FA5CAC">
      <w:pPr>
        <w:pStyle w:val="CaptionedFigure"/>
        <w:jc w:val="both"/>
      </w:pPr>
      <w:r>
        <w:rPr>
          <w:noProof/>
        </w:rPr>
        <w:lastRenderedPageBreak/>
        <w:drawing>
          <wp:inline distT="0" distB="0" distL="0" distR="0" wp14:anchorId="44CB0FAB" wp14:editId="3D24DFC6">
            <wp:extent cx="5943600" cy="2971800"/>
            <wp:effectExtent l="0" t="0" r="0" b="0"/>
            <wp:docPr id="62"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3" name="Picture" descr="C:/FilesVC/Boxgrove-Exp/figure/Fig8.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6F9E00CD" w14:textId="77777777" w:rsidR="0007673E" w:rsidRDefault="00000000" w:rsidP="00FA5CAC">
      <w:pPr>
        <w:pStyle w:val="ImageCaption"/>
        <w:jc w:val="both"/>
      </w:pPr>
      <w:r>
        <w:t>A comparison of the delta weight between the pre-training, early training, late training, and the expert group.</w:t>
      </w:r>
    </w:p>
    <w:p w14:paraId="1B91B9E0" w14:textId="77777777" w:rsidR="0007673E" w:rsidRDefault="00000000" w:rsidP="00FA5CAC">
      <w:pPr>
        <w:pStyle w:val="Heading1"/>
        <w:jc w:val="both"/>
      </w:pPr>
      <w:bookmarkStart w:id="12" w:name="discussion"/>
      <w:bookmarkEnd w:id="9"/>
      <w:bookmarkEnd w:id="11"/>
      <w:r>
        <w:t>Discussion</w:t>
      </w:r>
    </w:p>
    <w:p w14:paraId="40949487" w14:textId="77777777" w:rsidR="0007673E" w:rsidRDefault="00000000" w:rsidP="00FA5CAC">
      <w:pPr>
        <w:pStyle w:val="FirstParagraph"/>
        <w:jc w:val="both"/>
      </w:pPr>
      <w:r>
        <w:t>Our study suggests that skill can differentially affect the expression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and supports the use of cross-sectional thinning as a robust indicator of skill at Boxgrove, with potential implications for the cognitive demands and social contexts supporting learning (</w:t>
      </w:r>
      <w:hyperlink w:anchor="ref-pargeter2019">
        <w:r>
          <w:rPr>
            <w:rStyle w:val="Hyperlink"/>
          </w:rPr>
          <w:t>Pargeter et al., 2019</w:t>
        </w:r>
      </w:hyperlink>
      <w:r>
        <w:t xml:space="preserve">; </w:t>
      </w:r>
      <w:hyperlink w:anchor="ref-stout2014">
        <w:r>
          <w:rPr>
            <w:rStyle w:val="Hyperlink"/>
          </w:rPr>
          <w:t>Stout et al., 2014</w:t>
        </w:r>
      </w:hyperlink>
      <w:r>
        <w:t>). It further suggests that cultural evolutionary approaches to handaxe morphology should consider technological choices about investments in skill acquisition (</w:t>
      </w:r>
      <w:hyperlink w:anchor="ref-pargeter2019">
        <w:r>
          <w:rPr>
            <w:rStyle w:val="Hyperlink"/>
          </w:rPr>
          <w:t>Pargeter et al., 2019</w:t>
        </w:r>
      </w:hyperlink>
      <w:r>
        <w:t>) as a directional influence alongside random copy error (</w:t>
      </w:r>
      <w:hyperlink w:anchor="ref-eerkens2005">
        <w:r>
          <w:rPr>
            <w:rStyle w:val="Hyperlink"/>
          </w:rPr>
          <w:t>Eerkens &amp; Lipo, 2005</w:t>
        </w:r>
      </w:hyperlink>
      <w:r>
        <w:t>) as sources of variation. In contrast, we found morphological targets not requiring cross-sectional thinning (elongation and pointedness (PC2)) to be less constrained by skill. These aspects of morphology might thus provide a clearer signal of “arbitrary” cultural variation and accumulating copy error. Notably, Boxgrove handaxes are highly constrained along PC2 compared to our experimental samples, in keeping with prior arguments that production at this site adhered to a well-defined mental template (</w:t>
      </w:r>
      <w:hyperlink w:anchor="ref-garcía-medrano2019">
        <w:r>
          <w:rPr>
            <w:rStyle w:val="Hyperlink"/>
          </w:rPr>
          <w:t>García-Medrano et al., 2019</w:t>
        </w:r>
      </w:hyperlink>
      <w:r>
        <w:t xml:space="preserve">; </w:t>
      </w:r>
      <w:hyperlink w:anchor="ref-shipton2020">
        <w:r>
          <w:rPr>
            <w:rStyle w:val="Hyperlink"/>
          </w:rPr>
          <w:t>Shipton &amp; White, 2020</w:t>
        </w:r>
      </w:hyperlink>
      <w:r>
        <w:t>).</w:t>
      </w:r>
    </w:p>
    <w:p w14:paraId="1F12C3D4" w14:textId="77777777" w:rsidR="0007673E" w:rsidRDefault="00000000" w:rsidP="00FA5CAC">
      <w:pPr>
        <w:pStyle w:val="BodyText"/>
        <w:jc w:val="both"/>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w:t>
      </w:r>
      <w:r>
        <w:lastRenderedPageBreak/>
        <w:t>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direct (</w:t>
      </w:r>
      <w:hyperlink w:anchor="ref-bello2016">
        <w:r>
          <w:rPr>
            <w:rStyle w:val="Hyperlink"/>
          </w:rPr>
          <w:t>Bello et al., 2016</w:t>
        </w:r>
      </w:hyperlink>
      <w:r>
        <w:t xml:space="preserve">; </w:t>
      </w:r>
      <w:hyperlink w:anchor="ref-stout2014">
        <w:r>
          <w:rPr>
            <w:rStyle w:val="Hyperlink"/>
          </w:rPr>
          <w:t>Stout et al., 2014</w:t>
        </w:r>
      </w:hyperlink>
      <w:r>
        <w:t>) and indirect (</w:t>
      </w:r>
      <w:hyperlink w:anchor="ref-roberts1998">
        <w:r>
          <w:rPr>
            <w:rStyle w:val="Hyperlink"/>
          </w:rPr>
          <w:t>Roberts &amp; Parfitt, 1998</w:t>
        </w:r>
      </w:hyperlink>
      <w:r>
        <w:t xml:space="preserve">: 384-394; </w:t>
      </w:r>
      <w:hyperlink w:anchor="ref-roberts2009">
        <w:r>
          <w:rPr>
            <w:rStyle w:val="Hyperlink"/>
          </w:rPr>
          <w:t>Roberts &amp; Pope, 2009</w:t>
        </w:r>
      </w:hyperlink>
      <w:r>
        <w:t>) archaeological evidence from Boxgrove, although the validity of differentiating percussor types (hard hammerstone, soft hammerstone, and antler hammer) based on flake attributes has been challenged by other experimental studies (</w:t>
      </w:r>
      <w:hyperlink w:anchor="ref-driscoll2014">
        <w:r>
          <w:rPr>
            <w:rStyle w:val="Hyperlink"/>
          </w:rPr>
          <w:t>Driscoll &amp; García-Rojas, 2014</w:t>
        </w:r>
      </w:hyperlink>
      <w:r>
        <w:t>). It should be noted that both our experts and novices frequently used soft hammers in the production of experimental assemblages. In the skill acquisition experiments, novice knappers were explicitly taught to switch to the soft hammer for thinning purposes, although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2DEF6C1E" w14:textId="77777777" w:rsidR="0007673E" w:rsidRDefault="00000000" w:rsidP="00FA5CAC">
      <w:pPr>
        <w:pStyle w:val="BodyText"/>
        <w:jc w:val="both"/>
      </w:pPr>
      <w:r>
        <w:t>Unexpectedly, we found that modern experimental knappers did not closely approximate the PC2 (elongation and pointedness) values of Boxgrove handaxes. More specifically, the Boxgrove assemblage displays an ovate shape featuring a wider tip as previously pointed out by Shipton and White (</w:t>
      </w:r>
      <w:hyperlink w:anchor="ref-shipton2020">
        <w:r>
          <w:rPr>
            <w:rStyle w:val="Hyperlink"/>
          </w:rPr>
          <w:t>2020</w:t>
        </w:r>
      </w:hyperlink>
      <w:r>
        <w:t>) as well as Garcia-Medrano et al. (</w:t>
      </w:r>
      <w:hyperlink w:anchor="ref-garcía-medrano2019">
        <w:r>
          <w:rPr>
            <w:rStyle w:val="Hyperlink"/>
          </w:rPr>
          <w:t>2019</w:t>
        </w:r>
      </w:hyperlink>
      <w:r>
        <w:t>), while the experimental assemblages are characterized by a more pointed shape with a longer central axis (</w:t>
      </w:r>
      <w:r>
        <w:rPr>
          <w:b/>
          <w:bCs/>
        </w:rPr>
        <w:t>Figure</w:t>
      </w:r>
      <w:r>
        <w:t xml:space="preserve"> @ref(fig:GeneralPCA1)). This likely reflects the fact that our expert participants and instructor were verbally requested to make handaxes “comparable to Boxgrove handaxes” (with which they were familiar), but were not provided with a concrete template to copy. It would appear that they thus followed a more generalized archaeological conception of a “representative teardrop Late Acheulean handaxe” with a particular focus on thinning (PC1) that likely reflects the current cultural value placed on thinning as a marker of skill (</w:t>
      </w:r>
      <w:hyperlink w:anchor="ref-whittaker2004">
        <w:r>
          <w:rPr>
            <w:rStyle w:val="Hyperlink"/>
          </w:rPr>
          <w:t>Whittaker, 2004</w:t>
        </w:r>
      </w:hyperlink>
      <w:r>
        <w:t>: 180-182). Novices then sought to approximate this form, as demonstrated by their instructor and exemplar handaxes from our current expert sample that were given as models, where the mean PC2 value of exemplar handaxes reach 1.18, indicating a high degree of elongation and pointedness even among the expert sample. It should be also noted that the instructor (N. Khreisheh) has learned how to knap and how to teach knapping from one of our expert knappers (B. Bradley), potentially suggesting a cascading effect of social learning that also contributed to a shared mental template between the expert group and the novice group after training. At a higher level, this pattern may reflect a divergence of group-level aesthetic choices as expected under the theoretical framework of the communities of practice (</w:t>
      </w:r>
      <w:hyperlink w:anchor="ref-wenger1998">
        <w:r>
          <w:rPr>
            <w:rStyle w:val="Hyperlink"/>
          </w:rPr>
          <w:t>Wenger, 1998</w:t>
        </w:r>
      </w:hyperlink>
      <w:r>
        <w:t>), which could potentially provide a mechanistic explanation to some macro-level cultural phenomena such as regionalization (</w:t>
      </w:r>
      <w:hyperlink w:anchor="ref-ashton2021">
        <w:r>
          <w:rPr>
            <w:rStyle w:val="Hyperlink"/>
          </w:rPr>
          <w:t>Ashton &amp; Davis, 2021</w:t>
        </w:r>
      </w:hyperlink>
      <w:r>
        <w:t xml:space="preserve">; </w:t>
      </w:r>
      <w:hyperlink w:anchor="ref-davis2019">
        <w:r>
          <w:rPr>
            <w:rStyle w:val="Hyperlink"/>
          </w:rPr>
          <w:t>Davis &amp; Ashton, 2019</w:t>
        </w:r>
      </w:hyperlink>
      <w:r>
        <w:t xml:space="preserve">; </w:t>
      </w:r>
      <w:hyperlink w:anchor="ref-garcía-medrano2022">
        <w:r>
          <w:rPr>
            <w:rStyle w:val="Hyperlink"/>
          </w:rPr>
          <w:t>García-Medrano et al., 2022</w:t>
        </w:r>
      </w:hyperlink>
      <w:r>
        <w:t xml:space="preserve">; </w:t>
      </w:r>
      <w:hyperlink w:anchor="ref-shipton2020">
        <w:r>
          <w:rPr>
            <w:rStyle w:val="Hyperlink"/>
          </w:rPr>
          <w:t>Shipton &amp; White, 2020</w:t>
        </w:r>
      </w:hyperlink>
      <w:r>
        <w:t>). The most common form of learning in the experiment occurred in the group condition, where the instructor, as the competent group member, directed the joint enterprise by actively teaching multiple novices at the same time. Meanwhile, novices had the chance to also communicate and learn from their peers, producing a shared repertoire of artifacts and actions.</w:t>
      </w:r>
    </w:p>
    <w:p w14:paraId="5513750B" w14:textId="77777777" w:rsidR="0007673E" w:rsidRDefault="00000000" w:rsidP="00FA5CAC">
      <w:pPr>
        <w:pStyle w:val="BodyText"/>
        <w:jc w:val="both"/>
      </w:pPr>
      <w:r>
        <w:t xml:space="preserve">Moreover, the pre-training group is unexpectedly similar to the Boxgrove group in PC2 potentially because these novices lack the ability to effectively reduce the nodules, which are </w:t>
      </w:r>
      <w:r>
        <w:lastRenderedPageBreak/>
        <w:t>typically flat pre-prepared cortical flakes, to the desired form (</w:t>
      </w:r>
      <w:r>
        <w:rPr>
          <w:b/>
          <w:bCs/>
        </w:rPr>
        <w:t>Figure</w:t>
      </w:r>
      <w:r>
        <w:t xml:space="preserve"> @ref(fig:comparison)). If the given nodules already possess an oval morphology like those presented in the Boxgrove assemblage, it is likely the form of end products knapped by novices in the pre-training group will remain roughly unchanged (</w:t>
      </w:r>
      <w:hyperlink w:anchor="ref-winton2005">
        <w:r>
          <w:rPr>
            <w:rStyle w:val="Hyperlink"/>
          </w:rPr>
          <w:t>Winton, 2005</w:t>
        </w:r>
      </w:hyperlink>
      <w:r>
        <w:t>: 113). This explanation is also supported by the comparison of average delta weight, defined as the difference between the weight of a handaxe and the weight of its corresponding nodule, among four groups, where the pre-training group displays the lowest value (</w:t>
      </w:r>
      <w:r>
        <w:rPr>
          <w:b/>
          <w:bCs/>
        </w:rPr>
        <w:t>Figure</w:t>
      </w:r>
      <w:r>
        <w:t xml:space="preserve"> @ref(fig:weight)). It might be worth noting that the expert group is highly variable probably due to the raw material starting size and/or 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2014b</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339, 360). These 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667DFF09" w14:textId="77777777" w:rsidR="0007673E" w:rsidRDefault="00000000" w:rsidP="00FA5CAC">
      <w:pPr>
        <w:pStyle w:val="CaptionedFigure"/>
        <w:jc w:val="both"/>
      </w:pPr>
      <w:r>
        <w:rPr>
          <w:noProof/>
        </w:rPr>
        <w:lastRenderedPageBreak/>
        <w:drawing>
          <wp:inline distT="0" distB="0" distL="0" distR="0" wp14:anchorId="4AA981CD" wp14:editId="63E56B44">
            <wp:extent cx="5943600" cy="4073842"/>
            <wp:effectExtent l="0" t="0" r="0" b="0"/>
            <wp:docPr id="68"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9" name="Picture" descr="C:/FilesVC/Boxgrove-Exp/figure/Fig9.jpg"/>
                    <pic:cNvPicPr>
                      <a:picLocks noChangeAspect="1" noChangeArrowheads="1"/>
                    </pic:cNvPicPr>
                  </pic:nvPicPr>
                  <pic:blipFill>
                    <a:blip r:embed="rId18"/>
                    <a:stretch>
                      <a:fillRect/>
                    </a:stretch>
                  </pic:blipFill>
                  <pic:spPr bwMode="auto">
                    <a:xfrm>
                      <a:off x="0" y="0"/>
                      <a:ext cx="5943600" cy="4073842"/>
                    </a:xfrm>
                    <a:prstGeom prst="rect">
                      <a:avLst/>
                    </a:prstGeom>
                    <a:noFill/>
                    <a:ln w="9525">
                      <a:noFill/>
                      <a:headEnd/>
                      <a:tailEnd/>
                    </a:ln>
                  </pic:spPr>
                </pic:pic>
              </a:graphicData>
            </a:graphic>
          </wp:inline>
        </w:drawing>
      </w:r>
    </w:p>
    <w:p w14:paraId="0AADE685" w14:textId="77777777" w:rsidR="0007673E" w:rsidRDefault="00000000" w:rsidP="00FA5CAC">
      <w:pPr>
        <w:pStyle w:val="ImageCaption"/>
        <w:jc w:val="both"/>
      </w:pPr>
      <w:r>
        <w:t>Core 63 before (left) and after knapping(right), showing the minimal morphological change during the knapping process.</w:t>
      </w:r>
    </w:p>
    <w:p w14:paraId="4C714585" w14:textId="77777777" w:rsidR="0007673E" w:rsidRDefault="00000000" w:rsidP="00FA5CAC">
      <w:pPr>
        <w:pStyle w:val="BodyText"/>
        <w:jc w:val="both"/>
      </w:pPr>
      <w:r>
        <w:t>The negative correlation between the PC1 and PC2 values revealed a hidden structural constraint regarding the relationship between cross-sectional thinning and the imposed form. Our results (</w:t>
      </w:r>
      <w:r>
        <w:rPr>
          <w:b/>
          <w:bCs/>
        </w:rPr>
        <w:t>Figure</w:t>
      </w:r>
      <w:r>
        <w:t xml:space="preserve"> @ref(fig:PCcorrelation)) suggested thinner handaxes (low PC1 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one half way across the surface while not breaking the handaxe into half (</w:t>
      </w:r>
      <w:hyperlink w:anchor="ref-callahan1979">
        <w:r>
          <w:rPr>
            <w:rStyle w:val="Hyperlink"/>
          </w:rPr>
          <w:t>1979</w:t>
        </w:r>
      </w:hyperlink>
      <w:r>
        <w:t>: 90). As a corollary, we speculate that it would be easier to perform thinning if the plan shape of a handaxe is narrower and more pointed, echoing the high technological difficulty of making large yet thin bifacial points as perceived by American hobbyist flintknappers (</w:t>
      </w:r>
      <w:hyperlink w:anchor="ref-whittaker2004">
        <w:r>
          <w:rPr>
            <w:rStyle w:val="Hyperlink"/>
          </w:rPr>
          <w:t>Whittaker, 2004</w:t>
        </w:r>
      </w:hyperlink>
      <w:r>
        <w:t>: 180-182).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cultural reproduction of form for the experimental convergence on pointed forms. In this comparative context, it would only be the Boxgrove assemblage that provided evidence of social conformity on a more difficult target shape.</w:t>
      </w:r>
    </w:p>
    <w:p w14:paraId="3084EAEA" w14:textId="77777777" w:rsidR="0007673E" w:rsidRDefault="00000000" w:rsidP="00FA5CAC">
      <w:pPr>
        <w:pStyle w:val="BodyText"/>
        <w:jc w:val="both"/>
      </w:pPr>
      <w:r>
        <w:lastRenderedPageBreak/>
        <w:t>As previously shown in Key’s (</w:t>
      </w:r>
      <w:hyperlink w:anchor="ref-keyHandaxeShapeVariation2019">
        <w:r>
          <w:rPr>
            <w:rStyle w:val="Hyperlink"/>
          </w:rPr>
          <w:t>2019</w:t>
        </w:r>
      </w:hyperlink>
      <w:r>
        <w:t>) previous finding regarding Boxgrove, it is also noteworthy how constrained the range of Boxgrove assemblage morphological variation is as measured by both PC1 and PC2 even when compared with the modern expert group (</w:t>
      </w:r>
      <w:r>
        <w:rPr>
          <w:b/>
          <w:bCs/>
        </w:rPr>
        <w:t>Figure</w:t>
      </w:r>
      <w:r>
        <w:t xml:space="preserve"> @ref(fig:GeneralPCA1)),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and/or 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2014c</w:t>
        </w:r>
      </w:hyperlink>
      <w:r>
        <w:t>).</w:t>
      </w:r>
    </w:p>
    <w:p w14:paraId="7634E68D" w14:textId="77777777" w:rsidR="0007673E" w:rsidRDefault="00000000" w:rsidP="00FA5CAC">
      <w:pPr>
        <w:pStyle w:val="Heading1"/>
        <w:jc w:val="both"/>
      </w:pPr>
      <w:bookmarkStart w:id="13" w:name="conclusion"/>
      <w:bookmarkEnd w:id="12"/>
      <w:r>
        <w:t>Conclusion</w:t>
      </w:r>
    </w:p>
    <w:p w14:paraId="667D9D5E" w14:textId="77777777" w:rsidR="0007673E" w:rsidRDefault="00000000" w:rsidP="00FA5CAC">
      <w:pPr>
        <w:pStyle w:val="FirstParagraph"/>
        <w:jc w:val="both"/>
      </w:pPr>
      <w:r>
        <w:t>Regarding the research question we proposed in the beginning, our case study suggested that the processes of skill learning in a lithic medium do exert biases on the cultural reproduction of artifact morphology. More specifically, skill acquisition has a differential effect on the cultural reproduction of different aspects of mental templates, where cross-sectional thinning (PC1) is more constrained by knapping skill while elongation and pointedness (PC2) is less so. At a larger theoretical level, it questions the distinction between social learning of design targets vs. individual learning of the skills needed to achieve them. In the future, more robust 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xml:space="preserve">; </w:t>
      </w:r>
      <w:hyperlink w:anchor="ref-lew-levy2020">
        <w:r>
          <w:rPr>
            <w:rStyle w:val="Hyperlink"/>
          </w:rPr>
          <w:t>Lew-Levy et al., 2020</w:t>
        </w:r>
      </w:hyperlink>
      <w:r>
        <w:t xml:space="preserve">; </w:t>
      </w:r>
      <w:hyperlink w:anchor="ref-nowell2021">
        <w:r>
          <w:rPr>
            <w:rStyle w:val="Hyperlink"/>
          </w:rPr>
          <w:t>Nowell, 2021</w:t>
        </w:r>
      </w:hyperlink>
      <w:r>
        <w:t>) as well as their implications for the biological and cultural evolution of the hominin lineages.</w:t>
      </w:r>
    </w:p>
    <w:p w14:paraId="6AE22861" w14:textId="500501AF" w:rsidR="00FA5CAC" w:rsidRDefault="00FA5CAC" w:rsidP="00FA5CAC">
      <w:pPr>
        <w:pStyle w:val="Heading1"/>
        <w:jc w:val="both"/>
        <w:rPr>
          <w:lang w:eastAsia="zh-CN"/>
        </w:rPr>
      </w:pPr>
      <w:bookmarkStart w:id="14" w:name="credit-authorship-contribution-statement"/>
      <w:bookmarkEnd w:id="13"/>
      <w:r>
        <w:lastRenderedPageBreak/>
        <w:t>T</w:t>
      </w:r>
      <w:r>
        <w:rPr>
          <w:rFonts w:hint="eastAsia"/>
          <w:lang w:eastAsia="zh-CN"/>
        </w:rPr>
        <w:t>able</w:t>
      </w:r>
    </w:p>
    <w:p w14:paraId="6B1E6DCA" w14:textId="0C443C79" w:rsidR="00FA5CAC" w:rsidRPr="00FA5CAC" w:rsidRDefault="00FA5CAC" w:rsidP="00FA5CAC">
      <w:pPr>
        <w:pStyle w:val="BodyText"/>
        <w:rPr>
          <w:lang w:eastAsia="zh-CN"/>
        </w:rPr>
      </w:pPr>
      <w:r>
        <w:rPr>
          <w:noProof/>
        </w:rPr>
        <w:drawing>
          <wp:inline distT="0" distB="0" distL="0" distR="0" wp14:anchorId="30D0A076" wp14:editId="5626278E">
            <wp:extent cx="5943600" cy="474218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19"/>
                    <a:stretch>
                      <a:fillRect/>
                    </a:stretch>
                  </pic:blipFill>
                  <pic:spPr>
                    <a:xfrm>
                      <a:off x="0" y="0"/>
                      <a:ext cx="5943600" cy="4742180"/>
                    </a:xfrm>
                    <a:prstGeom prst="rect">
                      <a:avLst/>
                    </a:prstGeom>
                  </pic:spPr>
                </pic:pic>
              </a:graphicData>
            </a:graphic>
          </wp:inline>
        </w:drawing>
      </w:r>
    </w:p>
    <w:p w14:paraId="7C0AF995" w14:textId="30814934" w:rsidR="0007673E" w:rsidRDefault="00000000" w:rsidP="00FA5CAC">
      <w:pPr>
        <w:pStyle w:val="Heading1"/>
        <w:jc w:val="both"/>
      </w:pPr>
      <w:r>
        <w:t>CRediT authorship contribution statement</w:t>
      </w:r>
    </w:p>
    <w:p w14:paraId="4C15D28C" w14:textId="77777777" w:rsidR="0007673E" w:rsidRDefault="00000000" w:rsidP="00FA5CAC">
      <w:pPr>
        <w:pStyle w:val="FirstParagraph"/>
        <w:jc w:val="both"/>
      </w:pPr>
      <w:r>
        <w:rPr>
          <w:b/>
          <w:bCs/>
        </w:rPr>
        <w:t>Cheng Liu</w:t>
      </w:r>
      <w:r>
        <w:t xml:space="preserve">: Conceptualization,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7C3B23CA" w14:textId="77777777" w:rsidR="0007673E" w:rsidRDefault="00000000" w:rsidP="00FA5CAC">
      <w:pPr>
        <w:pStyle w:val="Heading1"/>
        <w:jc w:val="both"/>
      </w:pPr>
      <w:bookmarkStart w:id="15" w:name="declaration-of-competing-interest"/>
      <w:bookmarkEnd w:id="14"/>
      <w:r>
        <w:t>Declaration of competing interest</w:t>
      </w:r>
    </w:p>
    <w:p w14:paraId="03D901E9" w14:textId="77777777" w:rsidR="0007673E" w:rsidRDefault="00000000" w:rsidP="00FA5CAC">
      <w:pPr>
        <w:pStyle w:val="FirstParagraph"/>
        <w:jc w:val="both"/>
      </w:pPr>
      <w:r>
        <w:t>The authors declare that they have no known competing financial interests or personal relationships that could have appeared to influence the work reported in this paper.</w:t>
      </w:r>
    </w:p>
    <w:p w14:paraId="372AEF22" w14:textId="77777777" w:rsidR="0007673E" w:rsidRDefault="00000000" w:rsidP="00FA5CAC">
      <w:pPr>
        <w:pStyle w:val="Heading1"/>
        <w:jc w:val="both"/>
      </w:pPr>
      <w:bookmarkStart w:id="16" w:name="acknowledgements"/>
      <w:bookmarkEnd w:id="15"/>
      <w:r>
        <w:lastRenderedPageBreak/>
        <w:t>Acknowledgements</w:t>
      </w:r>
    </w:p>
    <w:p w14:paraId="0524BAA1" w14:textId="77777777" w:rsidR="0007673E" w:rsidRDefault="00000000" w:rsidP="00FA5CAC">
      <w:pPr>
        <w:pStyle w:val="FirstParagraph"/>
        <w:jc w:val="both"/>
      </w:pPr>
      <w:r>
        <w:t>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6D186CB5" w14:textId="77777777" w:rsidR="0007673E" w:rsidRDefault="00000000" w:rsidP="00FA5CAC">
      <w:pPr>
        <w:pStyle w:val="Heading1"/>
        <w:jc w:val="both"/>
      </w:pPr>
      <w:bookmarkStart w:id="17" w:name="references"/>
      <w:bookmarkEnd w:id="16"/>
      <w:r>
        <w:t>References</w:t>
      </w:r>
    </w:p>
    <w:p w14:paraId="5D0F3AC3" w14:textId="77777777" w:rsidR="0007673E" w:rsidRDefault="00000000" w:rsidP="00FA5CAC">
      <w:pPr>
        <w:pStyle w:val="Bibliography"/>
        <w:jc w:val="both"/>
      </w:pPr>
      <w:bookmarkStart w:id="18" w:name="ref-ashton2021"/>
      <w:bookmarkStart w:id="19" w:name="refs"/>
      <w:r>
        <w:t xml:space="preserve">Ashton, N., &amp; Davis, R. (2021). Cultural mosaics, social structure, and identity: The Acheulean threshold in Europe. </w:t>
      </w:r>
      <w:r>
        <w:rPr>
          <w:i/>
          <w:iCs/>
        </w:rPr>
        <w:t>Journal of Human Evolution</w:t>
      </w:r>
      <w:r>
        <w:t xml:space="preserve">, </w:t>
      </w:r>
      <w:r>
        <w:rPr>
          <w:i/>
          <w:iCs/>
        </w:rPr>
        <w:t>156</w:t>
      </w:r>
      <w:r>
        <w:t xml:space="preserve">, 103011. </w:t>
      </w:r>
      <w:hyperlink r:id="rId20">
        <w:r>
          <w:rPr>
            <w:rStyle w:val="Hyperlink"/>
          </w:rPr>
          <w:t>https://doi.org/10.1016/j.jhevol.2021.103011</w:t>
        </w:r>
      </w:hyperlink>
    </w:p>
    <w:p w14:paraId="2C4E30F8" w14:textId="77777777" w:rsidR="0007673E" w:rsidRDefault="00000000" w:rsidP="00FA5CAC">
      <w:pPr>
        <w:pStyle w:val="Bibliography"/>
        <w:jc w:val="both"/>
      </w:pPr>
      <w:bookmarkStart w:id="20" w:name="ref-bamforth2008"/>
      <w:bookmarkEnd w:id="18"/>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1">
        <w:r>
          <w:rPr>
            <w:rStyle w:val="Hyperlink"/>
          </w:rPr>
          <w:t>https://www.jstor.org/stable/40345992</w:t>
        </w:r>
      </w:hyperlink>
    </w:p>
    <w:p w14:paraId="4EB963AC" w14:textId="77777777" w:rsidR="0007673E" w:rsidRDefault="00000000" w:rsidP="00FA5CAC">
      <w:pPr>
        <w:pStyle w:val="Bibliography"/>
        <w:jc w:val="both"/>
      </w:pPr>
      <w:bookmarkStart w:id="21" w:name="ref-bayani2021"/>
      <w:bookmarkEnd w:id="20"/>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2">
        <w:r>
          <w:rPr>
            <w:rStyle w:val="Hyperlink"/>
          </w:rPr>
          <w:t>https://doi.org/10.1038/s42003-021-02768-w</w:t>
        </w:r>
      </w:hyperlink>
    </w:p>
    <w:p w14:paraId="3931A58F" w14:textId="77777777" w:rsidR="0007673E" w:rsidRDefault="00000000" w:rsidP="00FA5CAC">
      <w:pPr>
        <w:pStyle w:val="Bibliography"/>
        <w:jc w:val="both"/>
      </w:pPr>
      <w:bookmarkStart w:id="22" w:name="ref-bello2016"/>
      <w:bookmarkEnd w:id="21"/>
      <w:r>
        <w:t xml:space="preserve">Bello, S. M., Delbarre, G., De Groote, I., &amp; Parfitt, S. A. (2016). A newly discovered antler flint-knapping hammer and the question of their rarity in the Palaeolithic archaeological record: Reality or bias? </w:t>
      </w:r>
      <w:r>
        <w:rPr>
          <w:i/>
          <w:iCs/>
        </w:rPr>
        <w:t>Quaternary International</w:t>
      </w:r>
      <w:r>
        <w:t xml:space="preserve">, </w:t>
      </w:r>
      <w:r>
        <w:rPr>
          <w:i/>
          <w:iCs/>
        </w:rPr>
        <w:t>403</w:t>
      </w:r>
      <w:r>
        <w:t xml:space="preserve">, 107–117. </w:t>
      </w:r>
      <w:hyperlink r:id="rId23">
        <w:r>
          <w:rPr>
            <w:rStyle w:val="Hyperlink"/>
          </w:rPr>
          <w:t>https://doi.org/10.1016/j.quaint.2015.11.094</w:t>
        </w:r>
      </w:hyperlink>
    </w:p>
    <w:p w14:paraId="40A94441" w14:textId="77777777" w:rsidR="0007673E" w:rsidRDefault="00000000" w:rsidP="00FA5CAC">
      <w:pPr>
        <w:pStyle w:val="Bibliography"/>
        <w:jc w:val="both"/>
      </w:pPr>
      <w:bookmarkStart w:id="23" w:name="ref-bello2009"/>
      <w:bookmarkEnd w:id="22"/>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4">
        <w:r>
          <w:rPr>
            <w:rStyle w:val="Hyperlink"/>
          </w:rPr>
          <w:t>https://doi.org/10.1016/j.jas.2009.04.014</w:t>
        </w:r>
      </w:hyperlink>
    </w:p>
    <w:p w14:paraId="38AC3B45" w14:textId="77777777" w:rsidR="0007673E" w:rsidRDefault="00000000" w:rsidP="00FA5CAC">
      <w:pPr>
        <w:pStyle w:val="Bibliography"/>
        <w:jc w:val="both"/>
      </w:pPr>
      <w:bookmarkStart w:id="24" w:name="ref-bradley1986"/>
      <w:bookmarkEnd w:id="23"/>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426A8EBF" w14:textId="77777777" w:rsidR="0007673E" w:rsidRDefault="00000000" w:rsidP="00FA5CAC">
      <w:pPr>
        <w:pStyle w:val="Bibliography"/>
        <w:jc w:val="both"/>
      </w:pPr>
      <w:bookmarkStart w:id="25" w:name="ref-callahan1979"/>
      <w:bookmarkEnd w:id="24"/>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5">
        <w:r>
          <w:rPr>
            <w:rStyle w:val="Hyperlink"/>
          </w:rPr>
          <w:t>https://www.jstor.org/stable/40914177</w:t>
        </w:r>
      </w:hyperlink>
    </w:p>
    <w:p w14:paraId="0CF31692" w14:textId="77777777" w:rsidR="0007673E" w:rsidRDefault="00000000" w:rsidP="00FA5CAC">
      <w:pPr>
        <w:pStyle w:val="Bibliography"/>
        <w:jc w:val="both"/>
      </w:pPr>
      <w:bookmarkStart w:id="26" w:name="ref-caruana2022"/>
      <w:bookmarkEnd w:id="25"/>
      <w:r>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6">
        <w:r>
          <w:rPr>
            <w:rStyle w:val="Hyperlink"/>
          </w:rPr>
          <w:t>https://doi.org/10.1080/01977261.2021.1924452</w:t>
        </w:r>
      </w:hyperlink>
    </w:p>
    <w:p w14:paraId="64B5A911" w14:textId="77777777" w:rsidR="0007673E" w:rsidRDefault="00000000" w:rsidP="00FA5CAC">
      <w:pPr>
        <w:pStyle w:val="Bibliography"/>
        <w:jc w:val="both"/>
      </w:pPr>
      <w:bookmarkStart w:id="27" w:name="ref-caruana2020"/>
      <w:bookmarkEnd w:id="26"/>
      <w:r>
        <w:lastRenderedPageBreak/>
        <w:t xml:space="preserve">Caruana, M. V. (2020). South African handaxes reloaded. </w:t>
      </w:r>
      <w:r>
        <w:rPr>
          <w:i/>
          <w:iCs/>
        </w:rPr>
        <w:t>Journal of Archaeological Science: Reports</w:t>
      </w:r>
      <w:r>
        <w:t xml:space="preserve">, </w:t>
      </w:r>
      <w:r>
        <w:rPr>
          <w:i/>
          <w:iCs/>
        </w:rPr>
        <w:t>34</w:t>
      </w:r>
      <w:r>
        <w:t xml:space="preserve">, 102649. </w:t>
      </w:r>
      <w:hyperlink r:id="rId27">
        <w:r>
          <w:rPr>
            <w:rStyle w:val="Hyperlink"/>
          </w:rPr>
          <w:t>https://doi.org/10.1016/j.jasrep.2020.102649</w:t>
        </w:r>
      </w:hyperlink>
    </w:p>
    <w:p w14:paraId="2823DCB3" w14:textId="77777777" w:rsidR="0007673E" w:rsidRDefault="00000000" w:rsidP="00FA5CAC">
      <w:pPr>
        <w:pStyle w:val="Bibliography"/>
        <w:jc w:val="both"/>
      </w:pPr>
      <w:bookmarkStart w:id="28" w:name="ref-caruana2021"/>
      <w:bookmarkEnd w:id="27"/>
      <w:r>
        <w:t xml:space="preserve">Caruana, M. V., &amp; Herries, A. I. R. (2021). Modelling production mishaps in later Acheulian handaxes from the Area 1 excavation at Amanzi Springs (Eastern Cape, South Africa) and their effects on reduction and morphology. </w:t>
      </w:r>
      <w:r>
        <w:rPr>
          <w:i/>
          <w:iCs/>
        </w:rPr>
        <w:t>Journal of Archaeological Science: Reports</w:t>
      </w:r>
      <w:r>
        <w:t xml:space="preserve">, </w:t>
      </w:r>
      <w:r>
        <w:rPr>
          <w:i/>
          <w:iCs/>
        </w:rPr>
        <w:t>39</w:t>
      </w:r>
      <w:r>
        <w:t xml:space="preserve">, 103121. </w:t>
      </w:r>
      <w:hyperlink r:id="rId28">
        <w:r>
          <w:rPr>
            <w:rStyle w:val="Hyperlink"/>
          </w:rPr>
          <w:t>https://doi.org/10.1016/j.jasrep.2021.103121</w:t>
        </w:r>
      </w:hyperlink>
    </w:p>
    <w:p w14:paraId="02D68B9C" w14:textId="77777777" w:rsidR="0007673E" w:rsidRDefault="00000000" w:rsidP="00FA5CAC">
      <w:pPr>
        <w:pStyle w:val="Bibliography"/>
        <w:jc w:val="both"/>
      </w:pPr>
      <w:bookmarkStart w:id="29" w:name="ref-charbonneau2022"/>
      <w:bookmarkEnd w:id="28"/>
      <w:r>
        <w:t xml:space="preserve">Charbonneau, M., &amp; Strachan, J. W. A. (2022). From Copying to Coordination: An Alternative Framework for Understanding Cultural Learning Mechanisms. </w:t>
      </w:r>
      <w:r>
        <w:rPr>
          <w:i/>
          <w:iCs/>
        </w:rPr>
        <w:t>Journal of Cognition and Culture</w:t>
      </w:r>
      <w:r>
        <w:t xml:space="preserve">, </w:t>
      </w:r>
      <w:r>
        <w:rPr>
          <w:i/>
          <w:iCs/>
        </w:rPr>
        <w:t>22</w:t>
      </w:r>
      <w:r>
        <w:t xml:space="preserve">(5), 451–466. </w:t>
      </w:r>
      <w:hyperlink r:id="rId29">
        <w:r>
          <w:rPr>
            <w:rStyle w:val="Hyperlink"/>
          </w:rPr>
          <w:t>https://doi.org/10.1163/15685373-12340145</w:t>
        </w:r>
      </w:hyperlink>
    </w:p>
    <w:p w14:paraId="7BB68535" w14:textId="77777777" w:rsidR="0007673E" w:rsidRDefault="00000000" w:rsidP="00FA5CAC">
      <w:pPr>
        <w:pStyle w:val="Bibliography"/>
        <w:jc w:val="both"/>
      </w:pPr>
      <w:bookmarkStart w:id="30" w:name="ref-clark2001"/>
      <w:bookmarkEnd w:id="29"/>
      <w:r>
        <w:t xml:space="preserve">Clark, J. D. (2001). </w:t>
      </w:r>
      <w:r>
        <w:rPr>
          <w:i/>
          <w:iCs/>
        </w:rPr>
        <w:t>Variability in primary and secondary technologies of the later acheulian in africa</w:t>
      </w:r>
      <w:r>
        <w:t xml:space="preserve"> (S. Milliken &amp; J. Cook, Eds.; p. 118). Oxbow Books.</w:t>
      </w:r>
    </w:p>
    <w:p w14:paraId="24214289" w14:textId="77777777" w:rsidR="0007673E" w:rsidRDefault="00000000" w:rsidP="00FA5CAC">
      <w:pPr>
        <w:pStyle w:val="Bibliography"/>
        <w:jc w:val="both"/>
      </w:pPr>
      <w:bookmarkStart w:id="31" w:name="ref-connolly1989"/>
      <w:bookmarkEnd w:id="30"/>
      <w:r>
        <w:t xml:space="preserve">Connolly, K., &amp; Dalgleish, M. (1989). The emergence of a tool-using skill in infancy. </w:t>
      </w:r>
      <w:r>
        <w:rPr>
          <w:i/>
          <w:iCs/>
        </w:rPr>
        <w:t>Developmental Psychology</w:t>
      </w:r>
      <w:r>
        <w:t xml:space="preserve">, </w:t>
      </w:r>
      <w:r>
        <w:rPr>
          <w:i/>
          <w:iCs/>
        </w:rPr>
        <w:t>25</w:t>
      </w:r>
      <w:r>
        <w:t xml:space="preserve">(6), 894–912. </w:t>
      </w:r>
      <w:hyperlink r:id="rId30">
        <w:r>
          <w:rPr>
            <w:rStyle w:val="Hyperlink"/>
          </w:rPr>
          <w:t>https://doi.org/10.1037/0012-1649.25.6.894</w:t>
        </w:r>
      </w:hyperlink>
    </w:p>
    <w:p w14:paraId="2B024B20" w14:textId="77777777" w:rsidR="0007673E" w:rsidRDefault="00000000" w:rsidP="00FA5CAC">
      <w:pPr>
        <w:pStyle w:val="Bibliography"/>
        <w:jc w:val="both"/>
      </w:pPr>
      <w:bookmarkStart w:id="32" w:name="ref-corbey2020"/>
      <w:bookmarkEnd w:id="31"/>
      <w:r>
        <w:t xml:space="preserve">Corbey, R. (2020). Baldwin effects in early stone tools. </w:t>
      </w:r>
      <w:r>
        <w:rPr>
          <w:i/>
          <w:iCs/>
        </w:rPr>
        <w:t>Evolutionary Anthropology: Issues, News, and Reviews</w:t>
      </w:r>
      <w:r>
        <w:t xml:space="preserve">, </w:t>
      </w:r>
      <w:r>
        <w:rPr>
          <w:i/>
          <w:iCs/>
        </w:rPr>
        <w:t>29</w:t>
      </w:r>
      <w:r>
        <w:t xml:space="preserve">(5), 237–244. </w:t>
      </w:r>
      <w:hyperlink r:id="rId31">
        <w:r>
          <w:rPr>
            <w:rStyle w:val="Hyperlink"/>
          </w:rPr>
          <w:t>https://doi.org/10.1002/evan.21864</w:t>
        </w:r>
      </w:hyperlink>
    </w:p>
    <w:p w14:paraId="1208DDCC" w14:textId="77777777" w:rsidR="0007673E" w:rsidRDefault="00000000" w:rsidP="00FA5CAC">
      <w:pPr>
        <w:pStyle w:val="Bibliography"/>
        <w:jc w:val="both"/>
      </w:pPr>
      <w:bookmarkStart w:id="33" w:name="ref-corbey2016"/>
      <w:bookmarkEnd w:id="32"/>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2">
        <w:r>
          <w:rPr>
            <w:rStyle w:val="Hyperlink"/>
          </w:rPr>
          <w:t>https://doi.org/10.1002/evan.21467</w:t>
        </w:r>
      </w:hyperlink>
    </w:p>
    <w:p w14:paraId="7931A669" w14:textId="77777777" w:rsidR="0007673E" w:rsidRDefault="00000000" w:rsidP="00FA5CAC">
      <w:pPr>
        <w:pStyle w:val="Bibliography"/>
        <w:jc w:val="both"/>
      </w:pPr>
      <w:bookmarkStart w:id="34" w:name="ref-crompton1993"/>
      <w:bookmarkEnd w:id="33"/>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3">
        <w:r>
          <w:rPr>
            <w:rStyle w:val="Hyperlink"/>
          </w:rPr>
          <w:t>https://doi.org/10.1006/jhev.1993.1043</w:t>
        </w:r>
      </w:hyperlink>
    </w:p>
    <w:p w14:paraId="00C9F90B" w14:textId="77777777" w:rsidR="0007673E" w:rsidRDefault="00000000" w:rsidP="00FA5CAC">
      <w:pPr>
        <w:pStyle w:val="Bibliography"/>
        <w:jc w:val="both"/>
      </w:pPr>
      <w:bookmarkStart w:id="35" w:name="ref-davis2019"/>
      <w:bookmarkEnd w:id="34"/>
      <w:r>
        <w:t xml:space="preserve">Davis, R., &amp; Ashton, N. (2019). Landscapes, environments and societies: The development of culture in Lower Palaeolithic Europe. </w:t>
      </w:r>
      <w:r>
        <w:rPr>
          <w:i/>
          <w:iCs/>
        </w:rPr>
        <w:t>Journal of Anthropological Archaeology</w:t>
      </w:r>
      <w:r>
        <w:t xml:space="preserve">, </w:t>
      </w:r>
      <w:r>
        <w:rPr>
          <w:i/>
          <w:iCs/>
        </w:rPr>
        <w:t>56</w:t>
      </w:r>
      <w:r>
        <w:t xml:space="preserve">, 101107. </w:t>
      </w:r>
      <w:hyperlink r:id="rId34">
        <w:r>
          <w:rPr>
            <w:rStyle w:val="Hyperlink"/>
          </w:rPr>
          <w:t>https://doi.org/10.1016/j.jaa.2019.101107</w:t>
        </w:r>
      </w:hyperlink>
    </w:p>
    <w:p w14:paraId="5F63C7E0" w14:textId="77777777" w:rsidR="0007673E" w:rsidRDefault="00000000" w:rsidP="00FA5CAC">
      <w:pPr>
        <w:pStyle w:val="Bibliography"/>
        <w:jc w:val="both"/>
      </w:pPr>
      <w:bookmarkStart w:id="36" w:name="ref-deetz1967"/>
      <w:bookmarkEnd w:id="35"/>
      <w:r>
        <w:t xml:space="preserve">Deetz, J. (1967). </w:t>
      </w:r>
      <w:r>
        <w:rPr>
          <w:i/>
          <w:iCs/>
        </w:rPr>
        <w:t>Invitation to archaeology</w:t>
      </w:r>
      <w:r>
        <w:t>. Natural History Press.</w:t>
      </w:r>
    </w:p>
    <w:p w14:paraId="11F7D504" w14:textId="77777777" w:rsidR="0007673E" w:rsidRDefault="00000000" w:rsidP="00FA5CAC">
      <w:pPr>
        <w:pStyle w:val="Bibliography"/>
        <w:jc w:val="both"/>
      </w:pPr>
      <w:bookmarkStart w:id="37" w:name="ref-driscoll2014"/>
      <w:bookmarkEnd w:id="36"/>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5">
        <w:r>
          <w:rPr>
            <w:rStyle w:val="Hyperlink"/>
          </w:rPr>
          <w:t>https://doi.org/10.1016/j.jas.2014.04.008</w:t>
        </w:r>
      </w:hyperlink>
    </w:p>
    <w:p w14:paraId="6BB3A3F6" w14:textId="77777777" w:rsidR="0007673E" w:rsidRDefault="00000000" w:rsidP="00FA5CAC">
      <w:pPr>
        <w:pStyle w:val="Bibliography"/>
        <w:jc w:val="both"/>
      </w:pPr>
      <w:bookmarkStart w:id="38" w:name="ref-eerkens2005"/>
      <w:bookmarkEnd w:id="37"/>
      <w:r>
        <w:t xml:space="preserve">Eerkens, J. W., &amp; Lipo, C. P. (2005). Cultural transmission, copying errors, and the generation of variation in material culture and the archaeological record. </w:t>
      </w:r>
      <w:r>
        <w:rPr>
          <w:i/>
          <w:iCs/>
        </w:rPr>
        <w:t>Journal of Anthropological Archaeology</w:t>
      </w:r>
      <w:r>
        <w:t xml:space="preserve">, </w:t>
      </w:r>
      <w:r>
        <w:rPr>
          <w:i/>
          <w:iCs/>
        </w:rPr>
        <w:t>24</w:t>
      </w:r>
      <w:r>
        <w:t xml:space="preserve">(4), 316–334. </w:t>
      </w:r>
      <w:hyperlink r:id="rId36">
        <w:r>
          <w:rPr>
            <w:rStyle w:val="Hyperlink"/>
          </w:rPr>
          <w:t>https://doi.org/10.1016/j.jaa.2005.08.001</w:t>
        </w:r>
      </w:hyperlink>
    </w:p>
    <w:p w14:paraId="65A60655" w14:textId="77777777" w:rsidR="0007673E" w:rsidRDefault="00000000" w:rsidP="00FA5CAC">
      <w:pPr>
        <w:pStyle w:val="Bibliography"/>
        <w:jc w:val="both"/>
      </w:pPr>
      <w:bookmarkStart w:id="39" w:name="ref-eerkens2007"/>
      <w:bookmarkEnd w:id="38"/>
      <w:r>
        <w:t xml:space="preserve">Eerkens, J. W., &amp; Lipo, C. P. (2007). Cultural transmission theory and the archaeological record: Providing context to understanding variation and temporal changes in material culture. </w:t>
      </w:r>
      <w:r>
        <w:rPr>
          <w:i/>
          <w:iCs/>
        </w:rPr>
        <w:t>Journal of Archaeological Research</w:t>
      </w:r>
      <w:r>
        <w:t xml:space="preserve">, </w:t>
      </w:r>
      <w:r>
        <w:rPr>
          <w:i/>
          <w:iCs/>
        </w:rPr>
        <w:t>15</w:t>
      </w:r>
      <w:r>
        <w:t>(3), 239274. https://doi.org/</w:t>
      </w:r>
      <w:hyperlink r:id="rId37">
        <w:r>
          <w:rPr>
            <w:rStyle w:val="Hyperlink"/>
          </w:rPr>
          <w:t>https://doi.org/10.1007/s10814-007-9013-z</w:t>
        </w:r>
      </w:hyperlink>
    </w:p>
    <w:p w14:paraId="2D4DCF5C" w14:textId="77777777" w:rsidR="0007673E" w:rsidRDefault="00000000" w:rsidP="00FA5CAC">
      <w:pPr>
        <w:pStyle w:val="Bibliography"/>
        <w:jc w:val="both"/>
      </w:pPr>
      <w:bookmarkStart w:id="40" w:name="ref-eren2014"/>
      <w:bookmarkEnd w:id="39"/>
      <w:r>
        <w:lastRenderedPageBreak/>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8">
        <w:r>
          <w:rPr>
            <w:rStyle w:val="Hyperlink"/>
          </w:rPr>
          <w:t>https://doi.org/10.1016/j.jas.2014.05.034</w:t>
        </w:r>
      </w:hyperlink>
    </w:p>
    <w:p w14:paraId="1D18C627" w14:textId="77777777" w:rsidR="0007673E" w:rsidRDefault="00000000" w:rsidP="00FA5CAC">
      <w:pPr>
        <w:pStyle w:val="Bibliography"/>
        <w:jc w:val="both"/>
      </w:pPr>
      <w:bookmarkStart w:id="41" w:name="ref-faisal2010"/>
      <w:bookmarkEnd w:id="40"/>
      <w:r>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9">
        <w:r>
          <w:rPr>
            <w:rStyle w:val="Hyperlink"/>
          </w:rPr>
          <w:t>https://doi.org/10.1371/journal.pone.0013718</w:t>
        </w:r>
      </w:hyperlink>
    </w:p>
    <w:p w14:paraId="5A7695D1" w14:textId="77777777" w:rsidR="0007673E" w:rsidRDefault="00000000" w:rsidP="00FA5CAC">
      <w:pPr>
        <w:pStyle w:val="Bibliography"/>
        <w:jc w:val="both"/>
      </w:pPr>
      <w:bookmarkStart w:id="42" w:name="ref-games1976"/>
      <w:bookmarkEnd w:id="41"/>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40">
        <w:r>
          <w:rPr>
            <w:rStyle w:val="Hyperlink"/>
          </w:rPr>
          <w:t>https://doi.org/10.2307/1164979</w:t>
        </w:r>
      </w:hyperlink>
    </w:p>
    <w:p w14:paraId="125E4FFD" w14:textId="77777777" w:rsidR="0007673E" w:rsidRDefault="00000000" w:rsidP="00FA5CAC">
      <w:pPr>
        <w:pStyle w:val="Bibliography"/>
        <w:jc w:val="both"/>
      </w:pPr>
      <w:bookmarkStart w:id="43" w:name="ref-garcía-medrano2020b"/>
      <w:bookmarkEnd w:id="42"/>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41">
        <w:r>
          <w:rPr>
            <w:rStyle w:val="Hyperlink"/>
          </w:rPr>
          <w:t>https://doi.org/10.1007/s41982-020-00054-5</w:t>
        </w:r>
      </w:hyperlink>
    </w:p>
    <w:p w14:paraId="472F6750" w14:textId="77777777" w:rsidR="0007673E" w:rsidRDefault="00000000" w:rsidP="00FA5CAC">
      <w:pPr>
        <w:pStyle w:val="Bibliography"/>
        <w:jc w:val="both"/>
      </w:pPr>
      <w:bookmarkStart w:id="44" w:name="ref-garcía-medrano2020a"/>
      <w:bookmarkEnd w:id="43"/>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42">
        <w:r>
          <w:rPr>
            <w:rStyle w:val="Hyperlink"/>
          </w:rPr>
          <w:t>https://doi.org/10.2218/jls.4327</w:t>
        </w:r>
      </w:hyperlink>
    </w:p>
    <w:p w14:paraId="009B5011" w14:textId="77777777" w:rsidR="0007673E" w:rsidRDefault="00000000" w:rsidP="00FA5CAC">
      <w:pPr>
        <w:pStyle w:val="Bibliography"/>
        <w:jc w:val="both"/>
      </w:pPr>
      <w:bookmarkStart w:id="45" w:name="ref-garcía-medrano2019"/>
      <w:bookmarkEnd w:id="44"/>
      <w:r>
        <w:t xml:space="preserve">García-Medrano, P., Ollé, A., Ashton, N., &amp; Roberts, M. B. (2019). The Mental Template in Handaxe Manufacture: New Insights into Acheulean Lithic Technological Behavior at Boxgrove, Sussex, UK. </w:t>
      </w:r>
      <w:r>
        <w:rPr>
          <w:i/>
          <w:iCs/>
        </w:rPr>
        <w:t>Journal of Archaeological Method and Theory</w:t>
      </w:r>
      <w:r>
        <w:t xml:space="preserve">, </w:t>
      </w:r>
      <w:r>
        <w:rPr>
          <w:i/>
          <w:iCs/>
        </w:rPr>
        <w:t>26</w:t>
      </w:r>
      <w:r>
        <w:t xml:space="preserve">(1), 396–422. </w:t>
      </w:r>
      <w:hyperlink r:id="rId43">
        <w:r>
          <w:rPr>
            <w:rStyle w:val="Hyperlink"/>
          </w:rPr>
          <w:t>https://doi.org/10.1007/s10816-018-9376-0</w:t>
        </w:r>
      </w:hyperlink>
    </w:p>
    <w:p w14:paraId="615B5425" w14:textId="77777777" w:rsidR="0007673E" w:rsidRDefault="00000000" w:rsidP="00FA5CAC">
      <w:pPr>
        <w:pStyle w:val="Bibliography"/>
        <w:jc w:val="both"/>
      </w:pPr>
      <w:bookmarkStart w:id="46" w:name="ref-garcía-medrano2022"/>
      <w:bookmarkEnd w:id="45"/>
      <w:r>
        <w:t xml:space="preserve">García-Medrano, P., Shipton, C., White, M., &amp; Ashton, N. (2022). Acheulean diversity in britain (MIS 15-MIS11): From the standardization to the regionalization of technology. </w:t>
      </w:r>
      <w:r>
        <w:rPr>
          <w:i/>
          <w:iCs/>
        </w:rPr>
        <w:t>Frontiers in Earth Science</w:t>
      </w:r>
      <w:r>
        <w:t xml:space="preserve">, </w:t>
      </w:r>
      <w:r>
        <w:rPr>
          <w:i/>
          <w:iCs/>
        </w:rPr>
        <w:t>10</w:t>
      </w:r>
      <w:r>
        <w:t xml:space="preserve">. </w:t>
      </w:r>
      <w:hyperlink r:id="rId44">
        <w:r>
          <w:rPr>
            <w:rStyle w:val="Hyperlink"/>
          </w:rPr>
          <w:t>https://www.frontiersin.org/articles/10.3389/feart.2022.917207</w:t>
        </w:r>
      </w:hyperlink>
    </w:p>
    <w:p w14:paraId="07B80396" w14:textId="77777777" w:rsidR="0007673E" w:rsidRDefault="00000000" w:rsidP="00FA5CAC">
      <w:pPr>
        <w:pStyle w:val="Bibliography"/>
        <w:jc w:val="both"/>
      </w:pPr>
      <w:bookmarkStart w:id="47" w:name="ref-gowlett2021"/>
      <w:bookmarkEnd w:id="46"/>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5">
        <w:r>
          <w:rPr>
            <w:rStyle w:val="Hyperlink"/>
          </w:rPr>
          <w:t>https://doi.org/10.1177/1059712320965713</w:t>
        </w:r>
      </w:hyperlink>
    </w:p>
    <w:p w14:paraId="396E3EE6" w14:textId="77777777" w:rsidR="0007673E" w:rsidRDefault="00000000" w:rsidP="00FA5CAC">
      <w:pPr>
        <w:pStyle w:val="Bibliography"/>
        <w:jc w:val="both"/>
      </w:pPr>
      <w:bookmarkStart w:id="48" w:name="ref-gowlett2006"/>
      <w:bookmarkEnd w:id="47"/>
      <w:r>
        <w:t xml:space="preserve">Gowlett, J. A. J. (2006). </w:t>
      </w:r>
      <w:r>
        <w:rPr>
          <w:i/>
          <w:iCs/>
        </w:rPr>
        <w:t>The elements of design form in acheulian bifaces: Modes, modalities, rules and language</w:t>
      </w:r>
      <w:r>
        <w:t xml:space="preserve"> (N. Goren-Inbar &amp; G. Sharon, Eds.; pp. 203–222). Equinox.</w:t>
      </w:r>
    </w:p>
    <w:p w14:paraId="556FDA3D" w14:textId="77777777" w:rsidR="0007673E" w:rsidRDefault="00000000" w:rsidP="00FA5CAC">
      <w:pPr>
        <w:pStyle w:val="Bibliography"/>
        <w:jc w:val="both"/>
      </w:pPr>
      <w:bookmarkStart w:id="49" w:name="ref-henrich2015"/>
      <w:bookmarkEnd w:id="48"/>
      <w:r>
        <w:t xml:space="preserve">Henrich, J. (2015). </w:t>
      </w:r>
      <w:r>
        <w:rPr>
          <w:i/>
          <w:iCs/>
        </w:rPr>
        <w:t>The Secret of Our Success: How Culture Is Driving Human Evolution, Domesticating Our Species, and Making Us Smarter</w:t>
      </w:r>
      <w:r>
        <w:t>. Princeton University Press.</w:t>
      </w:r>
    </w:p>
    <w:p w14:paraId="3F144A73" w14:textId="77777777" w:rsidR="0007673E" w:rsidRDefault="00000000" w:rsidP="00FA5CAC">
      <w:pPr>
        <w:pStyle w:val="Bibliography"/>
        <w:jc w:val="both"/>
      </w:pPr>
      <w:bookmarkStart w:id="50" w:name="ref-herzlinger2017"/>
      <w:bookmarkEnd w:id="49"/>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6">
        <w:r>
          <w:rPr>
            <w:rStyle w:val="Hyperlink"/>
          </w:rPr>
          <w:t>https://doi.org/10.1016/j.jasrep.2017.05.013</w:t>
        </w:r>
      </w:hyperlink>
    </w:p>
    <w:p w14:paraId="0878F406" w14:textId="77777777" w:rsidR="0007673E" w:rsidRDefault="00000000" w:rsidP="00FA5CAC">
      <w:pPr>
        <w:pStyle w:val="Bibliography"/>
        <w:jc w:val="both"/>
      </w:pPr>
      <w:bookmarkStart w:id="51" w:name="ref-hillson2010"/>
      <w:bookmarkEnd w:id="50"/>
      <w:r>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7">
        <w:r>
          <w:rPr>
            <w:rStyle w:val="Hyperlink"/>
          </w:rPr>
          <w:t>https://doi.org/10.1016/j.jhevol.2010.06.004</w:t>
        </w:r>
      </w:hyperlink>
    </w:p>
    <w:p w14:paraId="23364048" w14:textId="77777777" w:rsidR="0007673E" w:rsidRDefault="00000000" w:rsidP="00FA5CAC">
      <w:pPr>
        <w:pStyle w:val="Bibliography"/>
        <w:jc w:val="both"/>
      </w:pPr>
      <w:bookmarkStart w:id="52" w:name="ref-hodgson2015"/>
      <w:bookmarkEnd w:id="51"/>
      <w:r>
        <w:lastRenderedPageBreak/>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8">
        <w:r>
          <w:rPr>
            <w:rStyle w:val="Hyperlink"/>
          </w:rPr>
          <w:t>https://doi.org/10.1016/j.jasrep.2015.02.002</w:t>
        </w:r>
      </w:hyperlink>
    </w:p>
    <w:p w14:paraId="734CC32D" w14:textId="77777777" w:rsidR="0007673E" w:rsidRDefault="00000000" w:rsidP="00FA5CAC">
      <w:pPr>
        <w:pStyle w:val="Bibliography"/>
        <w:jc w:val="both"/>
      </w:pPr>
      <w:bookmarkStart w:id="53" w:name="ref-högberg2018"/>
      <w:bookmarkEnd w:id="52"/>
      <w:r>
        <w:t xml:space="preserve">Högberg, A. (2018). Approaches to children’s knapping in lithic technology studies. </w:t>
      </w:r>
      <w:r>
        <w:rPr>
          <w:i/>
          <w:iCs/>
        </w:rPr>
        <w:t>Revista de Arqueologia</w:t>
      </w:r>
      <w:r>
        <w:t xml:space="preserve">, </w:t>
      </w:r>
      <w:r>
        <w:rPr>
          <w:i/>
          <w:iCs/>
        </w:rPr>
        <w:t>31</w:t>
      </w:r>
      <w:r>
        <w:t xml:space="preserve">(2), 58–74. </w:t>
      </w:r>
      <w:hyperlink r:id="rId49">
        <w:r>
          <w:rPr>
            <w:rStyle w:val="Hyperlink"/>
          </w:rPr>
          <w:t>https://doi.org/10.24885/sab.v31i2.613</w:t>
        </w:r>
      </w:hyperlink>
    </w:p>
    <w:p w14:paraId="62E877F4" w14:textId="77777777" w:rsidR="0007673E" w:rsidRDefault="00000000" w:rsidP="00FA5CAC">
      <w:pPr>
        <w:pStyle w:val="Bibliography"/>
        <w:jc w:val="both"/>
      </w:pPr>
      <w:bookmarkStart w:id="54" w:name="ref-holmes2010"/>
      <w:bookmarkEnd w:id="53"/>
      <w:r>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50">
        <w:r>
          <w:rPr>
            <w:rStyle w:val="Hyperlink"/>
          </w:rPr>
          <w:t>https://doi.org/10.1016/j.quascirev.2009.02.024</w:t>
        </w:r>
      </w:hyperlink>
    </w:p>
    <w:p w14:paraId="0B4EA6FB" w14:textId="77777777" w:rsidR="0007673E" w:rsidRDefault="00000000" w:rsidP="00FA5CAC">
      <w:pPr>
        <w:pStyle w:val="Bibliography"/>
        <w:jc w:val="both"/>
      </w:pPr>
      <w:bookmarkStart w:id="55" w:name="ref-hutchence2019"/>
      <w:bookmarkEnd w:id="54"/>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6368AEC4" w14:textId="77777777" w:rsidR="0007673E" w:rsidRDefault="00000000" w:rsidP="00FA5CAC">
      <w:pPr>
        <w:pStyle w:val="Bibliography"/>
        <w:jc w:val="both"/>
      </w:pPr>
      <w:bookmarkStart w:id="56" w:name="ref-hutchence2021"/>
      <w:bookmarkEnd w:id="55"/>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51">
        <w:r>
          <w:rPr>
            <w:rStyle w:val="Hyperlink"/>
          </w:rPr>
          <w:t>https://doi.org/10.1017/S0959774321000251</w:t>
        </w:r>
      </w:hyperlink>
    </w:p>
    <w:p w14:paraId="42058F43" w14:textId="77777777" w:rsidR="0007673E" w:rsidRDefault="00000000" w:rsidP="00FA5CAC">
      <w:pPr>
        <w:pStyle w:val="Bibliography"/>
        <w:jc w:val="both"/>
      </w:pPr>
      <w:bookmarkStart w:id="57" w:name="ref-iovita2011"/>
      <w:bookmarkEnd w:id="56"/>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52">
        <w:r>
          <w:rPr>
            <w:rStyle w:val="Hyperlink"/>
          </w:rPr>
          <w:t>https://doi.org/10.1016/j.jhevol.2011.02.007</w:t>
        </w:r>
      </w:hyperlink>
    </w:p>
    <w:p w14:paraId="6A55D30E" w14:textId="77777777" w:rsidR="0007673E" w:rsidRDefault="00000000" w:rsidP="00FA5CAC">
      <w:pPr>
        <w:pStyle w:val="Bibliography"/>
        <w:jc w:val="both"/>
      </w:pPr>
      <w:bookmarkStart w:id="58" w:name="ref-iovita2017"/>
      <w:bookmarkEnd w:id="57"/>
      <w:r>
        <w:t xml:space="preserve">Iovita, R., Tuvi-Arad, I., Moncel, M.-H., Despriée, J., Voinchet, P., &amp; Bahain, J.-J. (2017). High handaxe symmetry at the beginning of the European Acheulian: The data from la Noira (France) in context. </w:t>
      </w:r>
      <w:r>
        <w:rPr>
          <w:i/>
          <w:iCs/>
        </w:rPr>
        <w:t>PLOS ONE</w:t>
      </w:r>
      <w:r>
        <w:t xml:space="preserve">, </w:t>
      </w:r>
      <w:r>
        <w:rPr>
          <w:i/>
          <w:iCs/>
        </w:rPr>
        <w:t>12</w:t>
      </w:r>
      <w:r>
        <w:t xml:space="preserve">(5), e0177063. </w:t>
      </w:r>
      <w:hyperlink r:id="rId53">
        <w:r>
          <w:rPr>
            <w:rStyle w:val="Hyperlink"/>
          </w:rPr>
          <w:t>https://doi.org/10.1371/journal.pone.0177063</w:t>
        </w:r>
      </w:hyperlink>
    </w:p>
    <w:p w14:paraId="798EB87E" w14:textId="77777777" w:rsidR="0007673E" w:rsidRDefault="00000000" w:rsidP="00FA5CAC">
      <w:pPr>
        <w:pStyle w:val="Bibliography"/>
        <w:jc w:val="both"/>
      </w:pPr>
      <w:bookmarkStart w:id="59" w:name="ref-isaac1986"/>
      <w:bookmarkEnd w:id="58"/>
      <w:r>
        <w:t xml:space="preserve">Isaac, G. L. (1986). </w:t>
      </w:r>
      <w:r>
        <w:rPr>
          <w:i/>
          <w:iCs/>
        </w:rPr>
        <w:t>Foundation stones: Early artefacts as indicators of activities and abilities</w:t>
      </w:r>
      <w:r>
        <w:t xml:space="preserve"> (G. Bailey &amp; P. Callow, Eds.; pp. 221–241). Cambridge University Press.</w:t>
      </w:r>
    </w:p>
    <w:p w14:paraId="7348B600" w14:textId="77777777" w:rsidR="0007673E" w:rsidRDefault="00000000" w:rsidP="00FA5CAC">
      <w:pPr>
        <w:pStyle w:val="Bibliography"/>
        <w:jc w:val="both"/>
      </w:pPr>
      <w:bookmarkStart w:id="60" w:name="ref-kempe2012"/>
      <w:bookmarkEnd w:id="59"/>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4">
        <w:r>
          <w:rPr>
            <w:rStyle w:val="Hyperlink"/>
          </w:rPr>
          <w:t>https://doi.org/10.1371/journal.pone.0048333</w:t>
        </w:r>
      </w:hyperlink>
    </w:p>
    <w:p w14:paraId="477B247F" w14:textId="77777777" w:rsidR="0007673E" w:rsidRDefault="00000000" w:rsidP="00FA5CAC">
      <w:pPr>
        <w:pStyle w:val="Bibliography"/>
        <w:jc w:val="both"/>
      </w:pPr>
      <w:bookmarkStart w:id="61" w:name="ref-keyHandaxeShapeVariation2019"/>
      <w:bookmarkEnd w:id="60"/>
      <w:r>
        <w:t xml:space="preserve">Key, A. J. M. (2019). Handaxe shape variation in a relative context. </w:t>
      </w:r>
      <w:r>
        <w:rPr>
          <w:i/>
          <w:iCs/>
        </w:rPr>
        <w:t>Comptes Rendus Palevol</w:t>
      </w:r>
      <w:r>
        <w:t xml:space="preserve">, </w:t>
      </w:r>
      <w:r>
        <w:rPr>
          <w:i/>
          <w:iCs/>
        </w:rPr>
        <w:t>18</w:t>
      </w:r>
      <w:r>
        <w:t xml:space="preserve">(5), 555–567. </w:t>
      </w:r>
      <w:hyperlink r:id="rId55">
        <w:r>
          <w:rPr>
            <w:rStyle w:val="Hyperlink"/>
          </w:rPr>
          <w:t>https://doi.org/10.1016/j.crpv.2019.04.008</w:t>
        </w:r>
      </w:hyperlink>
    </w:p>
    <w:p w14:paraId="5A33F7C6" w14:textId="77777777" w:rsidR="0007673E" w:rsidRDefault="00000000" w:rsidP="00FA5CAC">
      <w:pPr>
        <w:pStyle w:val="Bibliography"/>
        <w:jc w:val="both"/>
      </w:pPr>
      <w:bookmarkStart w:id="62" w:name="ref-key2017"/>
      <w:bookmarkEnd w:id="61"/>
      <w:r>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6">
        <w:r>
          <w:rPr>
            <w:rStyle w:val="Hyperlink"/>
          </w:rPr>
          <w:t>https://doi.org/10.1007/s10816-016-9276-0</w:t>
        </w:r>
      </w:hyperlink>
    </w:p>
    <w:p w14:paraId="16B54664" w14:textId="77777777" w:rsidR="0007673E" w:rsidRDefault="00000000" w:rsidP="00FA5CAC">
      <w:pPr>
        <w:pStyle w:val="Bibliography"/>
        <w:jc w:val="both"/>
      </w:pPr>
      <w:bookmarkStart w:id="63" w:name="ref-key2019"/>
      <w:bookmarkEnd w:id="62"/>
      <w:r>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7">
        <w:r>
          <w:rPr>
            <w:rStyle w:val="Hyperlink"/>
          </w:rPr>
          <w:t>https://doi.org/10.1111/arcm.12439</w:t>
        </w:r>
      </w:hyperlink>
    </w:p>
    <w:p w14:paraId="435A2D8A" w14:textId="77777777" w:rsidR="0007673E" w:rsidRDefault="00000000" w:rsidP="00FA5CAC">
      <w:pPr>
        <w:pStyle w:val="Bibliography"/>
        <w:jc w:val="both"/>
      </w:pPr>
      <w:bookmarkStart w:id="64" w:name="ref-key2016"/>
      <w:bookmarkEnd w:id="63"/>
      <w:r>
        <w:lastRenderedPageBreak/>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58">
        <w:r>
          <w:rPr>
            <w:rStyle w:val="Hyperlink"/>
          </w:rPr>
          <w:t>https://doi.org/10.1016/j.jaa.2016.08.002</w:t>
        </w:r>
      </w:hyperlink>
    </w:p>
    <w:p w14:paraId="7591DE59" w14:textId="77777777" w:rsidR="0007673E" w:rsidRDefault="00000000" w:rsidP="00FA5CAC">
      <w:pPr>
        <w:pStyle w:val="Bibliography"/>
        <w:jc w:val="both"/>
      </w:pPr>
      <w:bookmarkStart w:id="65" w:name="ref-khreisheh2013"/>
      <w:bookmarkEnd w:id="64"/>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59">
        <w:r>
          <w:rPr>
            <w:rStyle w:val="Hyperlink"/>
          </w:rPr>
          <w:t>https://doi.org/10.7183/2326-3768.1.1.37</w:t>
        </w:r>
      </w:hyperlink>
    </w:p>
    <w:p w14:paraId="780BE6A7" w14:textId="77777777" w:rsidR="0007673E" w:rsidRDefault="00000000" w:rsidP="00FA5CAC">
      <w:pPr>
        <w:pStyle w:val="Bibliography"/>
        <w:jc w:val="both"/>
      </w:pPr>
      <w:bookmarkStart w:id="66" w:name="ref-kohn1999"/>
      <w:bookmarkEnd w:id="65"/>
      <w:r>
        <w:t xml:space="preserve">Kohn, M., &amp; Mithen, S. (1999). Handaxes: products of sexual selection? </w:t>
      </w:r>
      <w:r>
        <w:rPr>
          <w:i/>
          <w:iCs/>
        </w:rPr>
        <w:t>Antiquity</w:t>
      </w:r>
      <w:r>
        <w:t xml:space="preserve">, </w:t>
      </w:r>
      <w:r>
        <w:rPr>
          <w:i/>
          <w:iCs/>
        </w:rPr>
        <w:t>73</w:t>
      </w:r>
      <w:r>
        <w:t xml:space="preserve">(281), 518–526. </w:t>
      </w:r>
      <w:hyperlink r:id="rId60">
        <w:r>
          <w:rPr>
            <w:rStyle w:val="Hyperlink"/>
          </w:rPr>
          <w:t>https://doi.org/10.1017/S0003598X00065078</w:t>
        </w:r>
      </w:hyperlink>
    </w:p>
    <w:p w14:paraId="7B9C8B47" w14:textId="77777777" w:rsidR="0007673E" w:rsidRDefault="00000000" w:rsidP="00FA5CAC">
      <w:pPr>
        <w:pStyle w:val="Bibliography"/>
        <w:jc w:val="both"/>
      </w:pPr>
      <w:bookmarkStart w:id="67" w:name="ref-kolhatkar2022"/>
      <w:bookmarkEnd w:id="66"/>
      <w:r>
        <w:t xml:space="preserve">Kolhatkar, M. (2022). Skill in Stone Knapping: an Ecological Approach. </w:t>
      </w:r>
      <w:r>
        <w:rPr>
          <w:i/>
          <w:iCs/>
        </w:rPr>
        <w:t>Journal of Archaeological Method and Theory</w:t>
      </w:r>
      <w:r>
        <w:t xml:space="preserve">, </w:t>
      </w:r>
      <w:r>
        <w:rPr>
          <w:i/>
          <w:iCs/>
        </w:rPr>
        <w:t>29</w:t>
      </w:r>
      <w:r>
        <w:t xml:space="preserve">(1), 251–304. </w:t>
      </w:r>
      <w:hyperlink r:id="rId61">
        <w:r>
          <w:rPr>
            <w:rStyle w:val="Hyperlink"/>
          </w:rPr>
          <w:t>https://doi.org/10.1007/s10816-021-09521-x</w:t>
        </w:r>
      </w:hyperlink>
    </w:p>
    <w:p w14:paraId="3F981150" w14:textId="77777777" w:rsidR="0007673E" w:rsidRDefault="00000000" w:rsidP="00FA5CAC">
      <w:pPr>
        <w:pStyle w:val="Bibliography"/>
        <w:jc w:val="both"/>
      </w:pPr>
      <w:bookmarkStart w:id="68" w:name="Xc74ac819f4358c995c42bb0c7f3176ac1dd2c4b"/>
      <w:bookmarkEnd w:id="67"/>
      <w:r>
        <w:t xml:space="preserve">Kuhn, S. L. (2020). </w:t>
      </w:r>
      <w:r>
        <w:rPr>
          <w:i/>
          <w:iCs/>
        </w:rPr>
        <w:t>The Evolution of Paleolithic Technologies</w:t>
      </w:r>
      <w:r>
        <w:t>. Routledge.</w:t>
      </w:r>
    </w:p>
    <w:p w14:paraId="47DD00E7" w14:textId="77777777" w:rsidR="0007673E" w:rsidRDefault="00000000" w:rsidP="00FA5CAC">
      <w:pPr>
        <w:pStyle w:val="Bibliography"/>
        <w:jc w:val="both"/>
      </w:pPr>
      <w:bookmarkStart w:id="69" w:name="ref-laland2015"/>
      <w:bookmarkEnd w:id="68"/>
      <w:r>
        <w:t xml:space="preserve">Laland, K. N., Uller, T., Feldman, M. W., Sterelny, K., Müller, G. B., Moczek, A., Jablonka, E., &amp; Odling-Smee, J. (2015). The extended evolutionary synthesis: Its structure, assumptions and predictions. </w:t>
      </w:r>
      <w:r>
        <w:rPr>
          <w:i/>
          <w:iCs/>
        </w:rPr>
        <w:t>Proceedings of the Royal Society B: Biological Sciences</w:t>
      </w:r>
      <w:r>
        <w:t xml:space="preserve">, </w:t>
      </w:r>
      <w:r>
        <w:rPr>
          <w:i/>
          <w:iCs/>
        </w:rPr>
        <w:t>282</w:t>
      </w:r>
      <w:r>
        <w:t xml:space="preserve">(1813), 20151019. </w:t>
      </w:r>
      <w:hyperlink r:id="rId62">
        <w:r>
          <w:rPr>
            <w:rStyle w:val="Hyperlink"/>
          </w:rPr>
          <w:t>https://doi.org/10.1098/rspb.2015.1019</w:t>
        </w:r>
      </w:hyperlink>
    </w:p>
    <w:p w14:paraId="04788BC4" w14:textId="77777777" w:rsidR="0007673E" w:rsidRDefault="00000000" w:rsidP="00FA5CAC">
      <w:pPr>
        <w:pStyle w:val="Bibliography"/>
        <w:jc w:val="both"/>
      </w:pPr>
      <w:bookmarkStart w:id="70" w:name="ref-letensorer2006"/>
      <w:bookmarkEnd w:id="69"/>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63">
        <w:r>
          <w:rPr>
            <w:rStyle w:val="Hyperlink"/>
          </w:rPr>
          <w:t>https://doi.org/10.1016/j.crpv.2005.12.003</w:t>
        </w:r>
      </w:hyperlink>
    </w:p>
    <w:p w14:paraId="1F969C9F" w14:textId="77777777" w:rsidR="0007673E" w:rsidRDefault="00000000" w:rsidP="00FA5CAC">
      <w:pPr>
        <w:pStyle w:val="Bibliography"/>
        <w:jc w:val="both"/>
      </w:pPr>
      <w:bookmarkStart w:id="71" w:name="ref-lê2008"/>
      <w:bookmarkEnd w:id="70"/>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64">
        <w:r>
          <w:rPr>
            <w:rStyle w:val="Hyperlink"/>
          </w:rPr>
          <w:t>https://doi.org/10.18637/jss.v025.i01</w:t>
        </w:r>
      </w:hyperlink>
    </w:p>
    <w:p w14:paraId="70033F00" w14:textId="77777777" w:rsidR="0007673E" w:rsidRDefault="00000000" w:rsidP="00FA5CAC">
      <w:pPr>
        <w:pStyle w:val="Bibliography"/>
        <w:jc w:val="both"/>
      </w:pPr>
      <w:bookmarkStart w:id="72" w:name="ref-lewis2022"/>
      <w:bookmarkEnd w:id="71"/>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5">
        <w:r>
          <w:rPr>
            <w:rStyle w:val="Hyperlink"/>
          </w:rPr>
          <w:t>https://doi.org/10.1002/gea.21904</w:t>
        </w:r>
      </w:hyperlink>
    </w:p>
    <w:p w14:paraId="4794C887" w14:textId="77777777" w:rsidR="0007673E" w:rsidRDefault="00000000" w:rsidP="00FA5CAC">
      <w:pPr>
        <w:pStyle w:val="Bibliography"/>
        <w:jc w:val="both"/>
      </w:pPr>
      <w:bookmarkStart w:id="73" w:name="ref-lew-levy2020"/>
      <w:bookmarkEnd w:id="72"/>
      <w:r>
        <w:t xml:space="preserve">Lew-Levy, S., Milks, A., Lavi, N., Pope, S. M., &amp; Friesem, D. E. (2020). Where innovations flourish: An ethnographic and archaeological overview of huntergatherer learning contexts. </w:t>
      </w:r>
      <w:r>
        <w:rPr>
          <w:i/>
          <w:iCs/>
        </w:rPr>
        <w:t>Evolutionary Human Sciences</w:t>
      </w:r>
      <w:r>
        <w:t xml:space="preserve">, </w:t>
      </w:r>
      <w:r>
        <w:rPr>
          <w:i/>
          <w:iCs/>
        </w:rPr>
        <w:t>2</w:t>
      </w:r>
      <w:r>
        <w:t xml:space="preserve">, e31. </w:t>
      </w:r>
      <w:hyperlink r:id="rId66">
        <w:r>
          <w:rPr>
            <w:rStyle w:val="Hyperlink"/>
          </w:rPr>
          <w:t>https://doi.org/10.1017/ehs.2020.35</w:t>
        </w:r>
      </w:hyperlink>
    </w:p>
    <w:p w14:paraId="31DDC1AE" w14:textId="77777777" w:rsidR="0007673E" w:rsidRDefault="00000000" w:rsidP="00FA5CAC">
      <w:pPr>
        <w:pStyle w:val="Bibliography"/>
        <w:jc w:val="both"/>
      </w:pPr>
      <w:bookmarkStart w:id="74" w:name="ref-liu2022"/>
      <w:bookmarkEnd w:id="73"/>
      <w:r>
        <w:t xml:space="preserve">Liu, C., &amp; Stout, D. (2022). Inferring cultural reproduction from lithic data: A critical review. </w:t>
      </w:r>
      <w:r>
        <w:rPr>
          <w:i/>
          <w:iCs/>
        </w:rPr>
        <w:t>Evolutionary anthropology</w:t>
      </w:r>
      <w:r>
        <w:t xml:space="preserve">. </w:t>
      </w:r>
      <w:hyperlink r:id="rId67">
        <w:r>
          <w:rPr>
            <w:rStyle w:val="Hyperlink"/>
          </w:rPr>
          <w:t>https://doi.org/10.1002/evan.21964</w:t>
        </w:r>
      </w:hyperlink>
    </w:p>
    <w:p w14:paraId="235BF380" w14:textId="77777777" w:rsidR="0007673E" w:rsidRDefault="00000000" w:rsidP="00FA5CAC">
      <w:pPr>
        <w:pStyle w:val="Bibliography"/>
        <w:jc w:val="both"/>
      </w:pPr>
      <w:bookmarkStart w:id="75" w:name="ref-lockey2022"/>
      <w:bookmarkEnd w:id="74"/>
      <w:r>
        <w:t xml:space="preserve">Lockey, A. L., Rodríguez, L., Martín-Francés, L., Arsuaga, J. L., Bermúdez de Castro, J. M., Crété, L., Martinón-Torres, M., Parfitt, S., Pope, M., &amp; Stringer, C. (2022). Comparing the Boxgrove and Atapuerca (Sima de los Huesos) human fossils: Do they represent distinct paleodemes? </w:t>
      </w:r>
      <w:r>
        <w:rPr>
          <w:i/>
          <w:iCs/>
        </w:rPr>
        <w:t>Journal of Human Evolution</w:t>
      </w:r>
      <w:r>
        <w:t xml:space="preserve">, </w:t>
      </w:r>
      <w:r>
        <w:rPr>
          <w:i/>
          <w:iCs/>
        </w:rPr>
        <w:t>172</w:t>
      </w:r>
      <w:r>
        <w:t xml:space="preserve">, 103253. </w:t>
      </w:r>
      <w:hyperlink r:id="rId68">
        <w:r>
          <w:rPr>
            <w:rStyle w:val="Hyperlink"/>
          </w:rPr>
          <w:t>https://doi.org/10.1016/j.jhevol.2022.103253</w:t>
        </w:r>
      </w:hyperlink>
    </w:p>
    <w:p w14:paraId="19992D53" w14:textId="77777777" w:rsidR="0007673E" w:rsidRDefault="00000000" w:rsidP="00FA5CAC">
      <w:pPr>
        <w:pStyle w:val="Bibliography"/>
        <w:jc w:val="both"/>
      </w:pPr>
      <w:bookmarkStart w:id="76" w:name="ref-lycett2015"/>
      <w:bookmarkEnd w:id="75"/>
      <w:r>
        <w:lastRenderedPageBreak/>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69">
        <w:r>
          <w:rPr>
            <w:rStyle w:val="Hyperlink"/>
          </w:rPr>
          <w:t>https://doi.org/10.1007/s10816-013-9200-9</w:t>
        </w:r>
      </w:hyperlink>
    </w:p>
    <w:p w14:paraId="246C88FE" w14:textId="77777777" w:rsidR="0007673E" w:rsidRDefault="00000000" w:rsidP="00FA5CAC">
      <w:pPr>
        <w:pStyle w:val="Bibliography"/>
        <w:jc w:val="both"/>
      </w:pPr>
      <w:bookmarkStart w:id="77" w:name="ref-lycett2008"/>
      <w:bookmarkEnd w:id="76"/>
      <w:r>
        <w:t xml:space="preserve">Lycett, S. J., &amp; Gowlett, J. A. J. (2008). On questions surrounding the acheulean ’tradition’. </w:t>
      </w:r>
      <w:r>
        <w:rPr>
          <w:i/>
          <w:iCs/>
        </w:rPr>
        <w:t>World Archaeology</w:t>
      </w:r>
      <w:r>
        <w:t xml:space="preserve">, </w:t>
      </w:r>
      <w:r>
        <w:rPr>
          <w:i/>
          <w:iCs/>
        </w:rPr>
        <w:t>40</w:t>
      </w:r>
      <w:r>
        <w:t xml:space="preserve">(3), 295–315. </w:t>
      </w:r>
      <w:hyperlink r:id="rId70">
        <w:r>
          <w:rPr>
            <w:rStyle w:val="Hyperlink"/>
          </w:rPr>
          <w:t>https://www.jstor.org/stable/40388215</w:t>
        </w:r>
      </w:hyperlink>
    </w:p>
    <w:p w14:paraId="72D048D2" w14:textId="77777777" w:rsidR="0007673E" w:rsidRDefault="00000000" w:rsidP="00FA5CAC">
      <w:pPr>
        <w:pStyle w:val="Bibliography"/>
        <w:jc w:val="both"/>
      </w:pPr>
      <w:bookmarkStart w:id="78" w:name="ref-lycett2016"/>
      <w:bookmarkEnd w:id="77"/>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71">
        <w:r>
          <w:rPr>
            <w:rStyle w:val="Hyperlink"/>
          </w:rPr>
          <w:t>https://doi.org/10.1016/j.quaint.2015.08.021</w:t>
        </w:r>
      </w:hyperlink>
    </w:p>
    <w:p w14:paraId="3B86843E" w14:textId="77777777" w:rsidR="0007673E" w:rsidRDefault="00000000" w:rsidP="00FA5CAC">
      <w:pPr>
        <w:pStyle w:val="Bibliography"/>
        <w:jc w:val="both"/>
      </w:pPr>
      <w:bookmarkStart w:id="79" w:name="ref-lycett2006"/>
      <w:bookmarkEnd w:id="78"/>
      <w:r>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72">
        <w:r>
          <w:rPr>
            <w:rStyle w:val="Hyperlink"/>
          </w:rPr>
          <w:t>https://doi.org/10.1016/j.jas.2005.10.014</w:t>
        </w:r>
      </w:hyperlink>
    </w:p>
    <w:p w14:paraId="328C245A" w14:textId="77777777" w:rsidR="0007673E" w:rsidRDefault="00000000" w:rsidP="00FA5CAC">
      <w:pPr>
        <w:pStyle w:val="Bibliography"/>
        <w:jc w:val="both"/>
      </w:pPr>
      <w:bookmarkStart w:id="80" w:name="ref-lyman2004"/>
      <w:bookmarkEnd w:id="79"/>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73">
        <w:r>
          <w:rPr>
            <w:rStyle w:val="Hyperlink"/>
          </w:rPr>
          <w:t>https://doi.org/10.1007/s10816-004-1420-6</w:t>
        </w:r>
      </w:hyperlink>
    </w:p>
    <w:p w14:paraId="455B64C4" w14:textId="77777777" w:rsidR="0007673E" w:rsidRDefault="00000000" w:rsidP="00FA5CAC">
      <w:pPr>
        <w:pStyle w:val="Bibliography"/>
        <w:jc w:val="both"/>
      </w:pPr>
      <w:bookmarkStart w:id="81" w:name="ref-machin2007"/>
      <w:bookmarkEnd w:id="80"/>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74">
        <w:r>
          <w:rPr>
            <w:rStyle w:val="Hyperlink"/>
          </w:rPr>
          <w:t>https://doi.org/10.1016/j.jas.2006.09.008</w:t>
        </w:r>
      </w:hyperlink>
    </w:p>
    <w:p w14:paraId="5E358566" w14:textId="77777777" w:rsidR="0007673E" w:rsidRDefault="00000000" w:rsidP="00FA5CAC">
      <w:pPr>
        <w:pStyle w:val="Bibliography"/>
        <w:jc w:val="both"/>
      </w:pPr>
      <w:bookmarkStart w:id="82" w:name="ref-marwick2017"/>
      <w:bookmarkEnd w:id="81"/>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75">
        <w:r>
          <w:rPr>
            <w:rStyle w:val="Hyperlink"/>
          </w:rPr>
          <w:t>https://doi.org/10.1007/s10816-015-9272-9</w:t>
        </w:r>
      </w:hyperlink>
    </w:p>
    <w:p w14:paraId="464B7DDC" w14:textId="77777777" w:rsidR="0007673E" w:rsidRDefault="00000000" w:rsidP="00FA5CAC">
      <w:pPr>
        <w:pStyle w:val="Bibliography"/>
        <w:jc w:val="both"/>
      </w:pPr>
      <w:bookmarkStart w:id="83" w:name="ref-mcnabb2004"/>
      <w:bookmarkEnd w:id="82"/>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6">
        <w:r>
          <w:rPr>
            <w:rStyle w:val="Hyperlink"/>
          </w:rPr>
          <w:t>https://doi.org/10.1086/423973</w:t>
        </w:r>
      </w:hyperlink>
    </w:p>
    <w:p w14:paraId="592838A9" w14:textId="77777777" w:rsidR="0007673E" w:rsidRDefault="00000000" w:rsidP="00FA5CAC">
      <w:pPr>
        <w:pStyle w:val="Bibliography"/>
        <w:jc w:val="both"/>
      </w:pPr>
      <w:bookmarkStart w:id="84" w:name="ref-mcnabb2015"/>
      <w:bookmarkEnd w:id="83"/>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77">
        <w:r>
          <w:rPr>
            <w:rStyle w:val="Hyperlink"/>
          </w:rPr>
          <w:t>https://doi.org/10.1016/j.jasrep.2015.06.004</w:t>
        </w:r>
      </w:hyperlink>
    </w:p>
    <w:p w14:paraId="7712A021" w14:textId="77777777" w:rsidR="0007673E" w:rsidRDefault="00000000" w:rsidP="00FA5CAC">
      <w:pPr>
        <w:pStyle w:val="Bibliography"/>
        <w:jc w:val="both"/>
      </w:pPr>
      <w:bookmarkStart w:id="85" w:name="ref-milks2019"/>
      <w:bookmarkEnd w:id="84"/>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78">
        <w:r>
          <w:rPr>
            <w:rStyle w:val="Hyperlink"/>
          </w:rPr>
          <w:t>https://pdf.printfriendly.com/pdfs/make</w:t>
        </w:r>
      </w:hyperlink>
    </w:p>
    <w:p w14:paraId="2096120B" w14:textId="77777777" w:rsidR="0007673E" w:rsidRDefault="00000000" w:rsidP="00FA5CAC">
      <w:pPr>
        <w:pStyle w:val="Bibliography"/>
        <w:jc w:val="both"/>
      </w:pPr>
      <w:bookmarkStart w:id="86" w:name="ref-moncel2018c"/>
      <w:bookmarkEnd w:id="85"/>
      <w:r>
        <w:t xml:space="preserve">Moncel, M.-H., Arzarello, M., Boëda, É., Bonilauri, S., Chevrier, B., Gaillard, C., Forestier, H., Yinghua, L., Sémah, F., &amp; Zeitoun, V. (2018a). Assemblages with bifacial tools in Eurasia (third part). Considerations on the bifacial phenomenon throughout Eurasia. </w:t>
      </w:r>
      <w:r>
        <w:rPr>
          <w:i/>
          <w:iCs/>
        </w:rPr>
        <w:t>Comptes Rendus Palevol</w:t>
      </w:r>
      <w:r>
        <w:t xml:space="preserve">, </w:t>
      </w:r>
      <w:r>
        <w:rPr>
          <w:i/>
          <w:iCs/>
        </w:rPr>
        <w:t>17</w:t>
      </w:r>
      <w:r>
        <w:t xml:space="preserve">(1), 77–97. </w:t>
      </w:r>
      <w:hyperlink r:id="rId79">
        <w:r>
          <w:rPr>
            <w:rStyle w:val="Hyperlink"/>
          </w:rPr>
          <w:t>https://doi.org/10.1016/j.crpv.2015.11.007</w:t>
        </w:r>
      </w:hyperlink>
    </w:p>
    <w:p w14:paraId="383EF3CF" w14:textId="77777777" w:rsidR="0007673E" w:rsidRDefault="00000000" w:rsidP="00FA5CAC">
      <w:pPr>
        <w:pStyle w:val="Bibliography"/>
        <w:jc w:val="both"/>
      </w:pPr>
      <w:bookmarkStart w:id="87" w:name="ref-moncel2018a"/>
      <w:bookmarkEnd w:id="86"/>
      <w:r>
        <w:t xml:space="preserve">Moncel, M.-H., Arzarello, M., Boëda, É., Bonilauri, S., Chevrier, B., Gaillard, C., Forestier, H., Yinghua, L., Sémah, F., &amp; Zeitoun, V. (2018b). The assemblages with bifacial tools in Eurasia (first part). What is going on in the West? Data on western and southern Europe and the Levant. </w:t>
      </w:r>
      <w:r>
        <w:rPr>
          <w:i/>
          <w:iCs/>
        </w:rPr>
        <w:t>Comptes Rendus Palevol</w:t>
      </w:r>
      <w:r>
        <w:t xml:space="preserve">, </w:t>
      </w:r>
      <w:r>
        <w:rPr>
          <w:i/>
          <w:iCs/>
        </w:rPr>
        <w:t>17</w:t>
      </w:r>
      <w:r>
        <w:t xml:space="preserve">(1), 45–60. </w:t>
      </w:r>
      <w:hyperlink r:id="rId80">
        <w:r>
          <w:rPr>
            <w:rStyle w:val="Hyperlink"/>
          </w:rPr>
          <w:t>https://doi.org/10.1016/j.crpv.2015.09.009</w:t>
        </w:r>
      </w:hyperlink>
    </w:p>
    <w:p w14:paraId="621C0E6F" w14:textId="77777777" w:rsidR="0007673E" w:rsidRDefault="00000000" w:rsidP="00FA5CAC">
      <w:pPr>
        <w:pStyle w:val="Bibliography"/>
        <w:jc w:val="both"/>
      </w:pPr>
      <w:bookmarkStart w:id="88" w:name="ref-moncel2018b"/>
      <w:bookmarkEnd w:id="87"/>
      <w:r>
        <w:lastRenderedPageBreak/>
        <w:t xml:space="preserve">Moncel, M.-H., Arzarello, M., Boëda, É., Bonilauri, T., Chevrier, B., Gaillard, C., Forestier, H., Yinghua, L., Sémah, F., &amp; Zeitoun, V. (2018c). Assemblages with bifacial tools in Eurasia (second part). What is going on in the East? Data from India, Eastern Asia and Southeast Asia. </w:t>
      </w:r>
      <w:r>
        <w:rPr>
          <w:i/>
          <w:iCs/>
        </w:rPr>
        <w:t>Comptes Rendus Palevol</w:t>
      </w:r>
      <w:r>
        <w:t xml:space="preserve">, </w:t>
      </w:r>
      <w:r>
        <w:rPr>
          <w:i/>
          <w:iCs/>
        </w:rPr>
        <w:t>17</w:t>
      </w:r>
      <w:r>
        <w:t xml:space="preserve">(1), 61–76. </w:t>
      </w:r>
      <w:hyperlink r:id="rId81">
        <w:r>
          <w:rPr>
            <w:rStyle w:val="Hyperlink"/>
          </w:rPr>
          <w:t>https://doi.org/10.1016/j.crpv.2015.09.010</w:t>
        </w:r>
      </w:hyperlink>
    </w:p>
    <w:p w14:paraId="6962A80A" w14:textId="77777777" w:rsidR="0007673E" w:rsidRDefault="00000000" w:rsidP="00FA5CAC">
      <w:pPr>
        <w:pStyle w:val="Bibliography"/>
        <w:jc w:val="both"/>
      </w:pPr>
      <w:bookmarkStart w:id="89" w:name="ref-moore2020"/>
      <w:bookmarkEnd w:id="88"/>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82">
        <w:r>
          <w:rPr>
            <w:rStyle w:val="Hyperlink"/>
          </w:rPr>
          <w:t>https://doi.org/10.1017/S0959774320000190</w:t>
        </w:r>
      </w:hyperlink>
    </w:p>
    <w:p w14:paraId="08D5812C" w14:textId="77777777" w:rsidR="0007673E" w:rsidRDefault="00000000" w:rsidP="00FA5CAC">
      <w:pPr>
        <w:pStyle w:val="Bibliography"/>
        <w:jc w:val="both"/>
      </w:pPr>
      <w:bookmarkStart w:id="90" w:name="ref-moore2011"/>
      <w:bookmarkEnd w:id="89"/>
      <w:r>
        <w:t xml:space="preserve">Moore, M. W. (2011). The design space of stone flaking: Implications for cognitive evolution. </w:t>
      </w:r>
      <w:r>
        <w:rPr>
          <w:i/>
          <w:iCs/>
        </w:rPr>
        <w:t>World Archaeology</w:t>
      </w:r>
      <w:r>
        <w:t xml:space="preserve">, </w:t>
      </w:r>
      <w:r>
        <w:rPr>
          <w:i/>
          <w:iCs/>
        </w:rPr>
        <w:t>43</w:t>
      </w:r>
      <w:r>
        <w:t xml:space="preserve">(4), 702–715. </w:t>
      </w:r>
      <w:hyperlink r:id="rId83">
        <w:r>
          <w:rPr>
            <w:rStyle w:val="Hyperlink"/>
          </w:rPr>
          <w:t>https://doi.org/10.1080/00438243.2011.624778</w:t>
        </w:r>
      </w:hyperlink>
    </w:p>
    <w:p w14:paraId="01C919EE" w14:textId="77777777" w:rsidR="0007673E" w:rsidRDefault="00000000" w:rsidP="00FA5CAC">
      <w:pPr>
        <w:pStyle w:val="Bibliography"/>
        <w:jc w:val="both"/>
      </w:pPr>
      <w:bookmarkStart w:id="91" w:name="ref-moore2016"/>
      <w:bookmarkEnd w:id="90"/>
      <w:r>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84">
        <w:r>
          <w:rPr>
            <w:rStyle w:val="Hyperlink"/>
          </w:rPr>
          <w:t>https://doi.org/10.1371/journal.pone.0158803</w:t>
        </w:r>
      </w:hyperlink>
    </w:p>
    <w:p w14:paraId="1AF461A1" w14:textId="77777777" w:rsidR="0007673E" w:rsidRDefault="00000000" w:rsidP="00FA5CAC">
      <w:pPr>
        <w:pStyle w:val="Bibliography"/>
        <w:jc w:val="both"/>
      </w:pPr>
      <w:bookmarkStart w:id="92" w:name="ref-nowell2021"/>
      <w:bookmarkEnd w:id="91"/>
      <w:r>
        <w:t xml:space="preserve">Nowell, A. (2021). </w:t>
      </w:r>
      <w:r>
        <w:rPr>
          <w:i/>
          <w:iCs/>
        </w:rPr>
        <w:t>Growing up in the ice age: Fossil and archaeological evidence of the lived lives of plio-pleistocene children</w:t>
      </w:r>
      <w:r>
        <w:t>. Oxbow Books.</w:t>
      </w:r>
    </w:p>
    <w:p w14:paraId="2C5230BD" w14:textId="77777777" w:rsidR="0007673E" w:rsidRDefault="00000000" w:rsidP="00FA5CAC">
      <w:pPr>
        <w:pStyle w:val="Bibliography"/>
        <w:jc w:val="both"/>
      </w:pPr>
      <w:bookmarkStart w:id="93" w:name="ref-nowell2002"/>
      <w:bookmarkEnd w:id="92"/>
      <w:r>
        <w:t xml:space="preserve">Nowell, A. (2002). Coincidental factors of handaxe morphology. </w:t>
      </w:r>
      <w:r>
        <w:rPr>
          <w:i/>
          <w:iCs/>
        </w:rPr>
        <w:t>Behavioral and Brain Sciences</w:t>
      </w:r>
      <w:r>
        <w:t xml:space="preserve">, </w:t>
      </w:r>
      <w:r>
        <w:rPr>
          <w:i/>
          <w:iCs/>
        </w:rPr>
        <w:t>25</w:t>
      </w:r>
      <w:r>
        <w:t xml:space="preserve">(3), 413–414. </w:t>
      </w:r>
      <w:hyperlink r:id="rId85">
        <w:r>
          <w:rPr>
            <w:rStyle w:val="Hyperlink"/>
          </w:rPr>
          <w:t>https://doi.org/10.1017/S0140525X02330073</w:t>
        </w:r>
      </w:hyperlink>
    </w:p>
    <w:p w14:paraId="68248592" w14:textId="77777777" w:rsidR="0007673E" w:rsidRDefault="00000000" w:rsidP="00FA5CAC">
      <w:pPr>
        <w:pStyle w:val="Bibliography"/>
        <w:jc w:val="both"/>
      </w:pPr>
      <w:bookmarkStart w:id="94" w:name="ref-nowell2010"/>
      <w:bookmarkEnd w:id="93"/>
      <w:r>
        <w:t xml:space="preserve">Nowell, A., &amp; White, M. J. (2010). </w:t>
      </w:r>
      <w:r>
        <w:rPr>
          <w:i/>
          <w:iCs/>
        </w:rPr>
        <w:t>Growing up in the middle pleistocene: Life history strategies and their relationship to acheulian industries.</w:t>
      </w:r>
      <w:r>
        <w:t xml:space="preserve"> (A. Nowell &amp; I. Davidson, Eds.; pp. 67–82). University Press of Colorado. </w:t>
      </w:r>
      <w:hyperlink r:id="rId86">
        <w:r>
          <w:rPr>
            <w:rStyle w:val="Hyperlink"/>
          </w:rPr>
          <w:t>http://www.upcolorado.com/book/Stone_Tools_and_the_Evolution_of_Human_Cognition_Paper</w:t>
        </w:r>
      </w:hyperlink>
    </w:p>
    <w:p w14:paraId="5C2513BF" w14:textId="77777777" w:rsidR="0007673E" w:rsidRDefault="00000000" w:rsidP="00FA5CAC">
      <w:pPr>
        <w:pStyle w:val="Bibliography"/>
        <w:jc w:val="both"/>
      </w:pPr>
      <w:bookmarkStart w:id="95" w:name="ref-pargeter2020"/>
      <w:bookmarkEnd w:id="94"/>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87">
        <w:r>
          <w:rPr>
            <w:rStyle w:val="Hyperlink"/>
          </w:rPr>
          <w:t>https://doi.org/10.1016/j.jhevol.2020.102807</w:t>
        </w:r>
      </w:hyperlink>
    </w:p>
    <w:p w14:paraId="15735AD5" w14:textId="77777777" w:rsidR="0007673E" w:rsidRDefault="00000000" w:rsidP="00FA5CAC">
      <w:pPr>
        <w:pStyle w:val="Bibliography"/>
        <w:jc w:val="both"/>
      </w:pPr>
      <w:bookmarkStart w:id="96" w:name="ref-pargeter2019"/>
      <w:bookmarkEnd w:id="95"/>
      <w:r>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88">
        <w:r>
          <w:rPr>
            <w:rStyle w:val="Hyperlink"/>
          </w:rPr>
          <w:t>https://doi.org/10.1016/j.jhevol.2019.05.010</w:t>
        </w:r>
      </w:hyperlink>
    </w:p>
    <w:p w14:paraId="05706C0F" w14:textId="77777777" w:rsidR="0007673E" w:rsidRDefault="00000000" w:rsidP="00FA5CAC">
      <w:pPr>
        <w:pStyle w:val="Bibliography"/>
        <w:jc w:val="both"/>
      </w:pPr>
      <w:bookmarkStart w:id="97" w:name="ref-patil2021"/>
      <w:bookmarkEnd w:id="96"/>
      <w:r>
        <w:t xml:space="preserve">Patil, I. (2021). Visualizations with statistical details: The ’ggstatsplot’ approach. </w:t>
      </w:r>
      <w:r>
        <w:rPr>
          <w:i/>
          <w:iCs/>
        </w:rPr>
        <w:t>Journal of Open Source Software</w:t>
      </w:r>
      <w:r>
        <w:t xml:space="preserve">, </w:t>
      </w:r>
      <w:r>
        <w:rPr>
          <w:i/>
          <w:iCs/>
        </w:rPr>
        <w:t>6</w:t>
      </w:r>
      <w:r>
        <w:t xml:space="preserve">(61), 3167. </w:t>
      </w:r>
      <w:hyperlink r:id="rId89">
        <w:r>
          <w:rPr>
            <w:rStyle w:val="Hyperlink"/>
          </w:rPr>
          <w:t>https://doi.org/10.21105/joss.03167</w:t>
        </w:r>
      </w:hyperlink>
    </w:p>
    <w:p w14:paraId="44EE2449" w14:textId="77777777" w:rsidR="0007673E" w:rsidRDefault="00000000" w:rsidP="00FA5CAC">
      <w:pPr>
        <w:pStyle w:val="Bibliography"/>
        <w:jc w:val="both"/>
      </w:pPr>
      <w:bookmarkStart w:id="98" w:name="ref-pelcin1997"/>
      <w:bookmarkEnd w:id="97"/>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90">
        <w:r>
          <w:rPr>
            <w:rStyle w:val="Hyperlink"/>
          </w:rPr>
          <w:t>https://doi.org/10.1006/jasc.1996.0145</w:t>
        </w:r>
      </w:hyperlink>
    </w:p>
    <w:p w14:paraId="7EF2DE21" w14:textId="77777777" w:rsidR="0007673E" w:rsidRDefault="00000000" w:rsidP="00FA5CAC">
      <w:pPr>
        <w:pStyle w:val="Bibliography"/>
        <w:jc w:val="both"/>
      </w:pPr>
      <w:bookmarkStart w:id="99" w:name="ref-pelegrin1993"/>
      <w:bookmarkEnd w:id="98"/>
      <w:r>
        <w:t xml:space="preserve">Pelegrin, J. (1993). </w:t>
      </w:r>
      <w:r>
        <w:rPr>
          <w:i/>
          <w:iCs/>
        </w:rPr>
        <w:t>A framework for analysing prehistoric stone tool manufacture and a tentative application to some early stone industries</w:t>
      </w:r>
      <w:r>
        <w:t xml:space="preserve"> (pp. 302–317). Oxford University Press. </w:t>
      </w:r>
      <w:hyperlink r:id="rId91">
        <w:r>
          <w:rPr>
            <w:rStyle w:val="Hyperlink"/>
          </w:rPr>
          <w:t>https://doi.org/10.1093/acprof:oso/9780198522638.003.0018</w:t>
        </w:r>
      </w:hyperlink>
    </w:p>
    <w:p w14:paraId="4640A17B" w14:textId="77777777" w:rsidR="0007673E" w:rsidRDefault="00000000" w:rsidP="00FA5CAC">
      <w:pPr>
        <w:pStyle w:val="Bibliography"/>
        <w:jc w:val="both"/>
      </w:pPr>
      <w:bookmarkStart w:id="100" w:name="ref-earlyhu1998"/>
      <w:bookmarkEnd w:id="99"/>
      <w:r>
        <w:lastRenderedPageBreak/>
        <w:t xml:space="preserve">Petraglia, M. D., &amp; Korisettar, R. (Eds.). (1998). </w:t>
      </w:r>
      <w:r>
        <w:rPr>
          <w:i/>
          <w:iCs/>
        </w:rPr>
        <w:t>Early human behaviour in global context: The rise and diversity of the lower palaeolithic record</w:t>
      </w:r>
      <w:r>
        <w:t xml:space="preserve">. Routledge. </w:t>
      </w:r>
      <w:hyperlink r:id="rId92">
        <w:r>
          <w:rPr>
            <w:rStyle w:val="Hyperlink"/>
          </w:rPr>
          <w:t>https://doi.org/10.4324/9780203203279</w:t>
        </w:r>
      </w:hyperlink>
    </w:p>
    <w:p w14:paraId="387FD183" w14:textId="77777777" w:rsidR="0007673E" w:rsidRDefault="00000000" w:rsidP="00FA5CAC">
      <w:pPr>
        <w:pStyle w:val="Bibliography"/>
        <w:jc w:val="both"/>
      </w:pPr>
      <w:bookmarkStart w:id="101" w:name="ref-pope2020"/>
      <w:bookmarkEnd w:id="100"/>
      <w:r>
        <w:t xml:space="preserve">Pope, M., Parfitt, S., &amp; Roberts, M. (2020). </w:t>
      </w:r>
      <w:r>
        <w:rPr>
          <w:i/>
          <w:iCs/>
        </w:rPr>
        <w:t>The horse butchery site 2020: A high-resolution record of lower palaeolithic hominin behviour at boxgrove, UK</w:t>
      </w:r>
      <w:r>
        <w:t>. SpoilHeap Publications.</w:t>
      </w:r>
    </w:p>
    <w:p w14:paraId="1A9562A9" w14:textId="77777777" w:rsidR="0007673E" w:rsidRDefault="00000000" w:rsidP="00FA5CAC">
      <w:pPr>
        <w:pStyle w:val="Bibliography"/>
        <w:jc w:val="both"/>
      </w:pPr>
      <w:bookmarkStart w:id="102" w:name="ref-preece2022"/>
      <w:bookmarkEnd w:id="101"/>
      <w:r>
        <w:t xml:space="preserve">Preece, R. C., &amp; Parfitt, S. A. (2022). Environmental heterogeneity of the Lower Palaeolithic land surface on the Goodwood-Slindon Raised Beach: comparisons of the records from Boxgrove and Valdoe, Sussex, UK. </w:t>
      </w:r>
      <w:r>
        <w:rPr>
          <w:i/>
          <w:iCs/>
        </w:rPr>
        <w:t>Journal of Quaternary Science</w:t>
      </w:r>
      <w:r>
        <w:t xml:space="preserve">, </w:t>
      </w:r>
      <w:r>
        <w:rPr>
          <w:i/>
          <w:iCs/>
        </w:rPr>
        <w:t>37</w:t>
      </w:r>
      <w:r>
        <w:t xml:space="preserve">(4), 572–592. </w:t>
      </w:r>
      <w:hyperlink r:id="rId93">
        <w:r>
          <w:rPr>
            <w:rStyle w:val="Hyperlink"/>
          </w:rPr>
          <w:t>https://doi.org/10.1002/jqs.3409</w:t>
        </w:r>
      </w:hyperlink>
    </w:p>
    <w:p w14:paraId="6FF6BF97" w14:textId="77777777" w:rsidR="0007673E" w:rsidRDefault="00000000" w:rsidP="00FA5CAC">
      <w:pPr>
        <w:pStyle w:val="Bibliography"/>
        <w:jc w:val="both"/>
      </w:pPr>
      <w:bookmarkStart w:id="103" w:name="ref-rcoreteam2021"/>
      <w:bookmarkEnd w:id="102"/>
      <w:r>
        <w:t xml:space="preserve">R Core Team. (2021). </w:t>
      </w:r>
      <w:r>
        <w:rPr>
          <w:i/>
          <w:iCs/>
        </w:rPr>
        <w:t>R: A language and environment for statistical computing</w:t>
      </w:r>
      <w:r>
        <w:t xml:space="preserve">. R Foundation for Statistical Computing. </w:t>
      </w:r>
      <w:hyperlink r:id="rId94">
        <w:r>
          <w:rPr>
            <w:rStyle w:val="Hyperlink"/>
          </w:rPr>
          <w:t>https://www.R-project.org/</w:t>
        </w:r>
      </w:hyperlink>
    </w:p>
    <w:p w14:paraId="6820E7A8" w14:textId="77777777" w:rsidR="0007673E" w:rsidRDefault="00000000" w:rsidP="00FA5CAC">
      <w:pPr>
        <w:pStyle w:val="Bibliography"/>
        <w:jc w:val="both"/>
      </w:pPr>
      <w:bookmarkStart w:id="104" w:name="ref-richerson2005"/>
      <w:bookmarkEnd w:id="103"/>
      <w:r>
        <w:t xml:space="preserve">Richerson, P. J., &amp; Boyd, R. (2005). </w:t>
      </w:r>
      <w:r>
        <w:rPr>
          <w:i/>
          <w:iCs/>
        </w:rPr>
        <w:t>Not By Genes Alone: How Culture Transformed Human Evolution</w:t>
      </w:r>
      <w:r>
        <w:t>. University of Chicago Press.</w:t>
      </w:r>
    </w:p>
    <w:p w14:paraId="51641623" w14:textId="77777777" w:rsidR="0007673E" w:rsidRDefault="00000000" w:rsidP="00FA5CAC">
      <w:pPr>
        <w:pStyle w:val="Bibliography"/>
        <w:jc w:val="both"/>
      </w:pPr>
      <w:bookmarkStart w:id="105" w:name="ref-roberts1998"/>
      <w:bookmarkEnd w:id="104"/>
      <w:r>
        <w:t xml:space="preserve">Roberts, M. B., &amp; Parfitt, S. A. (1998). </w:t>
      </w:r>
      <w:r>
        <w:rPr>
          <w:i/>
          <w:iCs/>
        </w:rPr>
        <w:t>Boxgrove: A middle pleistocene hominid site at eartham quarry, boxgrove, west sussex</w:t>
      </w:r>
      <w:r>
        <w:t>. English Heritage.</w:t>
      </w:r>
    </w:p>
    <w:p w14:paraId="07B20B18" w14:textId="77777777" w:rsidR="0007673E" w:rsidRDefault="00000000" w:rsidP="00FA5CAC">
      <w:pPr>
        <w:pStyle w:val="Bibliography"/>
        <w:jc w:val="both"/>
      </w:pPr>
      <w:bookmarkStart w:id="106" w:name="ref-roberts2009"/>
      <w:bookmarkEnd w:id="105"/>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54604B0B" w14:textId="77777777" w:rsidR="0007673E" w:rsidRDefault="00000000" w:rsidP="00FA5CAC">
      <w:pPr>
        <w:pStyle w:val="Bibliography"/>
        <w:jc w:val="both"/>
      </w:pPr>
      <w:bookmarkStart w:id="107" w:name="ref-roberts1994"/>
      <w:bookmarkEnd w:id="106"/>
      <w:r>
        <w:t xml:space="preserve">Roberts, M. B., Stringer, C. B., &amp; Parfitt, S. A. (1994). A hominid tibia from Middle Pleistocene sediments at Boxgrove, UK. </w:t>
      </w:r>
      <w:r>
        <w:rPr>
          <w:i/>
          <w:iCs/>
        </w:rPr>
        <w:t>Nature</w:t>
      </w:r>
      <w:r>
        <w:t xml:space="preserve">, </w:t>
      </w:r>
      <w:r>
        <w:rPr>
          <w:i/>
          <w:iCs/>
        </w:rPr>
        <w:t>369</w:t>
      </w:r>
      <w:r>
        <w:t xml:space="preserve">(6478), 311–313. </w:t>
      </w:r>
      <w:hyperlink r:id="rId95">
        <w:r>
          <w:rPr>
            <w:rStyle w:val="Hyperlink"/>
          </w:rPr>
          <w:t>https://doi.org/10.1038/369311a0</w:t>
        </w:r>
      </w:hyperlink>
    </w:p>
    <w:p w14:paraId="0D2BCF19" w14:textId="77777777" w:rsidR="0007673E" w:rsidRDefault="00000000" w:rsidP="00FA5CAC">
      <w:pPr>
        <w:pStyle w:val="Bibliography"/>
        <w:jc w:val="both"/>
      </w:pPr>
      <w:bookmarkStart w:id="108" w:name="ref-roe1969"/>
      <w:bookmarkEnd w:id="107"/>
      <w:r>
        <w:t xml:space="preserve">Roe, D. A. (1969). British Lower and Middle Palaeolithic Handaxe Groups*. </w:t>
      </w:r>
      <w:r>
        <w:rPr>
          <w:i/>
          <w:iCs/>
        </w:rPr>
        <w:t>Proceedings of the Prehistoric Society</w:t>
      </w:r>
      <w:r>
        <w:t xml:space="preserve">, </w:t>
      </w:r>
      <w:r>
        <w:rPr>
          <w:i/>
          <w:iCs/>
        </w:rPr>
        <w:t>34</w:t>
      </w:r>
      <w:r>
        <w:t xml:space="preserve">, 1–82. </w:t>
      </w:r>
      <w:hyperlink r:id="rId96">
        <w:r>
          <w:rPr>
            <w:rStyle w:val="Hyperlink"/>
          </w:rPr>
          <w:t>https://doi.org/10.1017/S0079497X00013840</w:t>
        </w:r>
      </w:hyperlink>
    </w:p>
    <w:p w14:paraId="64B4AD59" w14:textId="77777777" w:rsidR="0007673E" w:rsidRDefault="00000000" w:rsidP="00FA5CAC">
      <w:pPr>
        <w:pStyle w:val="Bibliography"/>
        <w:jc w:val="both"/>
      </w:pPr>
      <w:bookmarkStart w:id="109" w:name="ref-roux1990"/>
      <w:bookmarkEnd w:id="108"/>
      <w:r>
        <w:t xml:space="preserve">Roux, V. (1990). The psychological analysis of technical activities: A contribution to the study of craft specialisation. </w:t>
      </w:r>
      <w:r>
        <w:rPr>
          <w:i/>
          <w:iCs/>
        </w:rPr>
        <w:t>Archaeological Review from Cambridge</w:t>
      </w:r>
      <w:r>
        <w:t xml:space="preserve">, </w:t>
      </w:r>
      <w:r>
        <w:rPr>
          <w:i/>
          <w:iCs/>
        </w:rPr>
        <w:t>9</w:t>
      </w:r>
      <w:r>
        <w:t>(1), 142153.</w:t>
      </w:r>
    </w:p>
    <w:p w14:paraId="026B232D" w14:textId="77777777" w:rsidR="0007673E" w:rsidRDefault="00000000" w:rsidP="00FA5CAC">
      <w:pPr>
        <w:pStyle w:val="Bibliography"/>
        <w:jc w:val="both"/>
      </w:pPr>
      <w:bookmarkStart w:id="110" w:name="ref-roux1995"/>
      <w:bookmarkEnd w:id="109"/>
      <w:r>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97">
        <w:r>
          <w:rPr>
            <w:rStyle w:val="Hyperlink"/>
          </w:rPr>
          <w:t>https://doi.org/10.1080/00438243.1995.9980293</w:t>
        </w:r>
      </w:hyperlink>
    </w:p>
    <w:p w14:paraId="633121C7" w14:textId="77777777" w:rsidR="0007673E" w:rsidRDefault="00000000" w:rsidP="00FA5CAC">
      <w:pPr>
        <w:pStyle w:val="Bibliography"/>
        <w:jc w:val="both"/>
      </w:pPr>
      <w:bookmarkStart w:id="111" w:name="ref-rueden2017"/>
      <w:bookmarkEnd w:id="110"/>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98">
        <w:r>
          <w:rPr>
            <w:rStyle w:val="Hyperlink"/>
          </w:rPr>
          <w:t>https://doi.org/10.1186/s12859-017-1934-z</w:t>
        </w:r>
      </w:hyperlink>
    </w:p>
    <w:p w14:paraId="6EE9C47B" w14:textId="77777777" w:rsidR="0007673E" w:rsidRDefault="00000000" w:rsidP="00FA5CAC">
      <w:pPr>
        <w:pStyle w:val="Bibliography"/>
        <w:jc w:val="both"/>
      </w:pPr>
      <w:bookmarkStart w:id="112" w:name="ref-sauder2019"/>
      <w:bookmarkEnd w:id="111"/>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99">
        <w:r>
          <w:rPr>
            <w:rStyle w:val="Hyperlink"/>
          </w:rPr>
          <w:t>https://doi.org/10.1177/2515245918808784</w:t>
        </w:r>
      </w:hyperlink>
    </w:p>
    <w:p w14:paraId="192396D3" w14:textId="77777777" w:rsidR="0007673E" w:rsidRDefault="00000000" w:rsidP="00FA5CAC">
      <w:pPr>
        <w:pStyle w:val="Bibliography"/>
        <w:jc w:val="both"/>
      </w:pPr>
      <w:bookmarkStart w:id="113" w:name="ref-schick1993"/>
      <w:bookmarkEnd w:id="112"/>
      <w:r>
        <w:t xml:space="preserve">Schick, K. D., &amp; Toth, N. P. (1993). </w:t>
      </w:r>
      <w:r>
        <w:rPr>
          <w:i/>
          <w:iCs/>
        </w:rPr>
        <w:t>Making Silent Stones Speak: Human Evolution And The Dawn Of Technology</w:t>
      </w:r>
      <w:r>
        <w:t>. Simon; Schuster.</w:t>
      </w:r>
    </w:p>
    <w:p w14:paraId="055DE51D" w14:textId="77777777" w:rsidR="0007673E" w:rsidRDefault="00000000" w:rsidP="00FA5CAC">
      <w:pPr>
        <w:pStyle w:val="Bibliography"/>
        <w:jc w:val="both"/>
      </w:pPr>
      <w:bookmarkStart w:id="114" w:name="ref-schillinger2014"/>
      <w:bookmarkEnd w:id="113"/>
      <w:r>
        <w:lastRenderedPageBreak/>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0">
        <w:r>
          <w:rPr>
            <w:rStyle w:val="Hyperlink"/>
          </w:rPr>
          <w:t>https://doi.org/10.7183/0002-7316.79.1.128</w:t>
        </w:r>
      </w:hyperlink>
    </w:p>
    <w:p w14:paraId="7E2B2F72" w14:textId="77777777" w:rsidR="0007673E" w:rsidRDefault="00000000" w:rsidP="00FA5CAC">
      <w:pPr>
        <w:pStyle w:val="Bibliography"/>
        <w:jc w:val="both"/>
      </w:pPr>
      <w:bookmarkStart w:id="115" w:name="ref-schillingerCopyingErrorCultural2014a"/>
      <w:bookmarkEnd w:id="114"/>
      <w:r>
        <w:t xml:space="preserve">Schillinger, K., Mesoudi, A., &amp; Lycett, S. J. (2014b).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1">
        <w:r>
          <w:rPr>
            <w:rStyle w:val="Hyperlink"/>
          </w:rPr>
          <w:t>https://doi.org/10.7183/0002-7316.79.1.128</w:t>
        </w:r>
      </w:hyperlink>
    </w:p>
    <w:p w14:paraId="59C8252B" w14:textId="77777777" w:rsidR="0007673E" w:rsidRDefault="00000000" w:rsidP="00FA5CAC">
      <w:pPr>
        <w:pStyle w:val="Bibliography"/>
        <w:jc w:val="both"/>
      </w:pPr>
      <w:bookmarkStart w:id="116" w:name="ref-schillingerConsideringRoleTime2014"/>
      <w:bookmarkEnd w:id="115"/>
      <w:r>
        <w:t xml:space="preserve">Schillinger, K., Mesoudi, A., &amp; Lycett, S. J. (2014c). Considering the Role of Time Budgets on Copy-Error Rates in Material Culture Traditions: An Experimental Assessment. </w:t>
      </w:r>
      <w:r>
        <w:rPr>
          <w:i/>
          <w:iCs/>
        </w:rPr>
        <w:t>PLOS ONE</w:t>
      </w:r>
      <w:r>
        <w:t xml:space="preserve">, </w:t>
      </w:r>
      <w:r>
        <w:rPr>
          <w:i/>
          <w:iCs/>
        </w:rPr>
        <w:t>9</w:t>
      </w:r>
      <w:r>
        <w:t xml:space="preserve">(5), e97157. </w:t>
      </w:r>
      <w:hyperlink r:id="rId102">
        <w:r>
          <w:rPr>
            <w:rStyle w:val="Hyperlink"/>
          </w:rPr>
          <w:t>https://doi.org/10.1371/journal.pone.0097157</w:t>
        </w:r>
      </w:hyperlink>
    </w:p>
    <w:p w14:paraId="6E46CD17" w14:textId="77777777" w:rsidR="0007673E" w:rsidRDefault="00000000" w:rsidP="00FA5CAC">
      <w:pPr>
        <w:pStyle w:val="Bibliography"/>
        <w:jc w:val="both"/>
      </w:pPr>
      <w:bookmarkStart w:id="117" w:name="ref-schillinger2017"/>
      <w:bookmarkEnd w:id="116"/>
      <w:r>
        <w:t xml:space="preserve">Schillinger, K., Mesoudi, A., &amp; Lycett, S. J. (2017). Differences in Manufacturing Traditions and Assemblage-Level Patterns: the Origins of Cultural Differences in Archaeological Data. </w:t>
      </w:r>
      <w:r>
        <w:rPr>
          <w:i/>
          <w:iCs/>
        </w:rPr>
        <w:t>Journal of Archaeological Method and Theory</w:t>
      </w:r>
      <w:r>
        <w:t xml:space="preserve">, </w:t>
      </w:r>
      <w:r>
        <w:rPr>
          <w:i/>
          <w:iCs/>
        </w:rPr>
        <w:t>24</w:t>
      </w:r>
      <w:r>
        <w:t xml:space="preserve">(2), 640–658. </w:t>
      </w:r>
      <w:hyperlink r:id="rId103">
        <w:r>
          <w:rPr>
            <w:rStyle w:val="Hyperlink"/>
          </w:rPr>
          <w:t>https://doi.org/10.1007/s10816-016-9280-4</w:t>
        </w:r>
      </w:hyperlink>
    </w:p>
    <w:p w14:paraId="2D36EFD5" w14:textId="77777777" w:rsidR="0007673E" w:rsidRDefault="00000000" w:rsidP="00FA5CAC">
      <w:pPr>
        <w:pStyle w:val="Bibliography"/>
        <w:jc w:val="both"/>
      </w:pPr>
      <w:bookmarkStart w:id="118" w:name="ref-schillinger2015"/>
      <w:bookmarkEnd w:id="117"/>
      <w:r>
        <w:t xml:space="preserve">Schillinger, K., Mesoudi, A., &amp; Lycett, S. J. (2015). The impact of imitative versus emulative learning mechanisms on artifactual variation: implications for the evolution of material culture. </w:t>
      </w:r>
      <w:r>
        <w:rPr>
          <w:i/>
          <w:iCs/>
        </w:rPr>
        <w:t>Evolution and Human Behavior</w:t>
      </w:r>
      <w:r>
        <w:t xml:space="preserve">, </w:t>
      </w:r>
      <w:r>
        <w:rPr>
          <w:i/>
          <w:iCs/>
        </w:rPr>
        <w:t>36</w:t>
      </w:r>
      <w:r>
        <w:t xml:space="preserve">(6), 446–455. </w:t>
      </w:r>
      <w:hyperlink r:id="rId104">
        <w:r>
          <w:rPr>
            <w:rStyle w:val="Hyperlink"/>
          </w:rPr>
          <w:t>https://doi.org/10.1016/j.evolhumbehav.2015.04.003</w:t>
        </w:r>
      </w:hyperlink>
    </w:p>
    <w:p w14:paraId="2F9B7740" w14:textId="77777777" w:rsidR="0007673E" w:rsidRDefault="00000000" w:rsidP="00FA5CAC">
      <w:pPr>
        <w:pStyle w:val="Bibliography"/>
        <w:jc w:val="both"/>
      </w:pPr>
      <w:bookmarkStart w:id="119" w:name="ref-sharon2008"/>
      <w:bookmarkEnd w:id="118"/>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105">
        <w:r>
          <w:rPr>
            <w:rStyle w:val="Hyperlink"/>
          </w:rPr>
          <w:t>https://doi.org/10.1016/j.jas.2007.09.004</w:t>
        </w:r>
      </w:hyperlink>
    </w:p>
    <w:p w14:paraId="7A3AA6EA" w14:textId="77777777" w:rsidR="0007673E" w:rsidRDefault="00000000" w:rsidP="00FA5CAC">
      <w:pPr>
        <w:pStyle w:val="Bibliography"/>
        <w:jc w:val="both"/>
      </w:pPr>
      <w:bookmarkStart w:id="120" w:name="ref-sharon2011"/>
      <w:bookmarkEnd w:id="119"/>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106">
        <w:r>
          <w:rPr>
            <w:rStyle w:val="Hyperlink"/>
          </w:rPr>
          <w:t>https://doi.org/10.1016/j.jhevol.2009.11.012</w:t>
        </w:r>
      </w:hyperlink>
    </w:p>
    <w:p w14:paraId="372268F4" w14:textId="77777777" w:rsidR="0007673E" w:rsidRDefault="00000000" w:rsidP="00FA5CAC">
      <w:pPr>
        <w:pStyle w:val="Bibliography"/>
        <w:jc w:val="both"/>
      </w:pPr>
      <w:bookmarkStart w:id="121" w:name="ref-shipton2015"/>
      <w:bookmarkEnd w:id="120"/>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107">
        <w:r>
          <w:rPr>
            <w:rStyle w:val="Hyperlink"/>
          </w:rPr>
          <w:t>https://doi.org/10.1016/j.jasrep.2015.06.029</w:t>
        </w:r>
      </w:hyperlink>
    </w:p>
    <w:p w14:paraId="3E211B8D" w14:textId="77777777" w:rsidR="0007673E" w:rsidRDefault="00000000" w:rsidP="00FA5CAC">
      <w:pPr>
        <w:pStyle w:val="Bibliography"/>
        <w:jc w:val="both"/>
      </w:pPr>
      <w:bookmarkStart w:id="122" w:name="ref-shipton2013"/>
      <w:bookmarkEnd w:id="121"/>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108">
        <w:r>
          <w:rPr>
            <w:rStyle w:val="Hyperlink"/>
          </w:rPr>
          <w:t>https://doi.org/10.1016/j.jhevol.2013.03.007</w:t>
        </w:r>
      </w:hyperlink>
    </w:p>
    <w:p w14:paraId="172AD1EF" w14:textId="77777777" w:rsidR="0007673E" w:rsidRDefault="00000000" w:rsidP="00FA5CAC">
      <w:pPr>
        <w:pStyle w:val="Bibliography"/>
        <w:jc w:val="both"/>
      </w:pPr>
      <w:bookmarkStart w:id="123" w:name="ref-shipton2009"/>
      <w:bookmarkEnd w:id="122"/>
      <w:r>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109">
        <w:r>
          <w:rPr>
            <w:rStyle w:val="Hyperlink"/>
          </w:rPr>
          <w:t>https://doi.org/10.1017/S0003598X00098987</w:t>
        </w:r>
      </w:hyperlink>
    </w:p>
    <w:p w14:paraId="60C46BE7" w14:textId="77777777" w:rsidR="0007673E" w:rsidRDefault="00000000" w:rsidP="00FA5CAC">
      <w:pPr>
        <w:pStyle w:val="Bibliography"/>
        <w:jc w:val="both"/>
      </w:pPr>
      <w:bookmarkStart w:id="124" w:name="ref-shipton2020"/>
      <w:bookmarkEnd w:id="123"/>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10">
        <w:r>
          <w:rPr>
            <w:rStyle w:val="Hyperlink"/>
          </w:rPr>
          <w:t>https://doi.org/10.1016/j.jasrep.2020.102352</w:t>
        </w:r>
      </w:hyperlink>
    </w:p>
    <w:p w14:paraId="6A6C71F4" w14:textId="77777777" w:rsidR="0007673E" w:rsidRDefault="00000000" w:rsidP="00FA5CAC">
      <w:pPr>
        <w:pStyle w:val="Bibliography"/>
        <w:jc w:val="both"/>
      </w:pPr>
      <w:bookmarkStart w:id="125" w:name="ref-smith2013"/>
      <w:bookmarkEnd w:id="124"/>
      <w:r>
        <w:t xml:space="preserve">Smith, G. M. (2013). Taphonomic resolution and hominin subsistence behaviour in the Lower Palaeolithic: differing data scales and interpretive frameworks at Boxgrove and </w:t>
      </w:r>
      <w:r>
        <w:lastRenderedPageBreak/>
        <w:t xml:space="preserve">Swanscombe (UK). </w:t>
      </w:r>
      <w:r>
        <w:rPr>
          <w:i/>
          <w:iCs/>
        </w:rPr>
        <w:t>Journal of Archaeological Science</w:t>
      </w:r>
      <w:r>
        <w:t xml:space="preserve">, </w:t>
      </w:r>
      <w:r>
        <w:rPr>
          <w:i/>
          <w:iCs/>
        </w:rPr>
        <w:t>40</w:t>
      </w:r>
      <w:r>
        <w:t xml:space="preserve">(10), 3754–3767. </w:t>
      </w:r>
      <w:hyperlink r:id="rId111">
        <w:r>
          <w:rPr>
            <w:rStyle w:val="Hyperlink"/>
          </w:rPr>
          <w:t>https://doi.org/10.1016/j.jas.2013.05.002</w:t>
        </w:r>
      </w:hyperlink>
    </w:p>
    <w:p w14:paraId="5D5C9334" w14:textId="77777777" w:rsidR="0007673E" w:rsidRDefault="00000000" w:rsidP="00FA5CAC">
      <w:pPr>
        <w:pStyle w:val="Bibliography"/>
        <w:jc w:val="both"/>
      </w:pPr>
      <w:bookmarkStart w:id="126" w:name="ref-smith2012"/>
      <w:bookmarkEnd w:id="125"/>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12">
        <w:r>
          <w:rPr>
            <w:rStyle w:val="Hyperlink"/>
          </w:rPr>
          <w:t>https://dialnet.unirioja.es/servlet/articulo?codigo=5002455</w:t>
        </w:r>
      </w:hyperlink>
    </w:p>
    <w:p w14:paraId="43880B81" w14:textId="77777777" w:rsidR="0007673E" w:rsidRDefault="00000000" w:rsidP="00FA5CAC">
      <w:pPr>
        <w:pStyle w:val="Bibliography"/>
        <w:jc w:val="both"/>
      </w:pPr>
      <w:bookmarkStart w:id="127" w:name="ref-spikins2012"/>
      <w:bookmarkEnd w:id="126"/>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13">
        <w:r>
          <w:rPr>
            <w:rStyle w:val="Hyperlink"/>
          </w:rPr>
          <w:t>https://doi.org/10.1080/00438243.2012.725889</w:t>
        </w:r>
      </w:hyperlink>
    </w:p>
    <w:p w14:paraId="552E36FE" w14:textId="77777777" w:rsidR="0007673E" w:rsidRDefault="00000000" w:rsidP="00FA5CAC">
      <w:pPr>
        <w:pStyle w:val="Bibliography"/>
        <w:jc w:val="both"/>
      </w:pPr>
      <w:bookmarkStart w:id="128" w:name="ref-sterelny2004"/>
      <w:bookmarkEnd w:id="127"/>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14">
        <w:r>
          <w:rPr>
            <w:rStyle w:val="Hyperlink"/>
          </w:rPr>
          <w:t>https://doi.org/10.1111/j.1525-142X.2004.04035.x</w:t>
        </w:r>
      </w:hyperlink>
    </w:p>
    <w:p w14:paraId="69009406" w14:textId="77777777" w:rsidR="0007673E" w:rsidRDefault="00000000" w:rsidP="00FA5CAC">
      <w:pPr>
        <w:pStyle w:val="Bibliography"/>
        <w:jc w:val="both"/>
      </w:pPr>
      <w:bookmarkStart w:id="129" w:name="ref-stout2021a"/>
      <w:bookmarkEnd w:id="128"/>
      <w:r>
        <w:t xml:space="preserve">Stout, D. (2021). The cognitive science of technology. </w:t>
      </w:r>
      <w:r>
        <w:rPr>
          <w:i/>
          <w:iCs/>
        </w:rPr>
        <w:t>Trends in Cognitive Sciences</w:t>
      </w:r>
      <w:r>
        <w:t xml:space="preserve">, </w:t>
      </w:r>
      <w:r>
        <w:rPr>
          <w:i/>
          <w:iCs/>
        </w:rPr>
        <w:t>25</w:t>
      </w:r>
      <w:r>
        <w:t xml:space="preserve">(11), 964–977. </w:t>
      </w:r>
      <w:hyperlink r:id="rId115">
        <w:r>
          <w:rPr>
            <w:rStyle w:val="Hyperlink"/>
          </w:rPr>
          <w:t>https://doi.org/10.1016/j.tics.2021.07.005</w:t>
        </w:r>
      </w:hyperlink>
    </w:p>
    <w:p w14:paraId="563B9DA5" w14:textId="77777777" w:rsidR="0007673E" w:rsidRDefault="00000000" w:rsidP="00FA5CAC">
      <w:pPr>
        <w:pStyle w:val="Bibliography"/>
        <w:jc w:val="both"/>
      </w:pPr>
      <w:bookmarkStart w:id="130" w:name="ref-stout2002"/>
      <w:bookmarkEnd w:id="129"/>
      <w:r>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16">
        <w:r>
          <w:rPr>
            <w:rStyle w:val="Hyperlink"/>
          </w:rPr>
          <w:t>https://doi.org/10.1086/342638</w:t>
        </w:r>
      </w:hyperlink>
    </w:p>
    <w:p w14:paraId="481B9942" w14:textId="77777777" w:rsidR="0007673E" w:rsidRDefault="00000000" w:rsidP="00FA5CAC">
      <w:pPr>
        <w:pStyle w:val="Bibliography"/>
        <w:jc w:val="both"/>
      </w:pPr>
      <w:bookmarkStart w:id="131" w:name="ref-stout2014"/>
      <w:bookmarkEnd w:id="130"/>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17">
        <w:r>
          <w:rPr>
            <w:rStyle w:val="Hyperlink"/>
          </w:rPr>
          <w:t>https://doi.org/10.1016/j.jas.2013.10.001</w:t>
        </w:r>
      </w:hyperlink>
    </w:p>
    <w:p w14:paraId="65D35C68" w14:textId="77777777" w:rsidR="0007673E" w:rsidRDefault="00000000" w:rsidP="00FA5CAC">
      <w:pPr>
        <w:pStyle w:val="Bibliography"/>
        <w:jc w:val="both"/>
      </w:pPr>
      <w:bookmarkStart w:id="132" w:name="ref-stout2017"/>
      <w:bookmarkEnd w:id="131"/>
      <w:r>
        <w:t xml:space="preserve">Stout, D., &amp; Hecht, E. E. (2017). Evolutionary neuroscience of cumulative culture. </w:t>
      </w:r>
      <w:r>
        <w:rPr>
          <w:i/>
          <w:iCs/>
        </w:rPr>
        <w:t>Proceedings of the National Academy of Sciences</w:t>
      </w:r>
      <w:r>
        <w:t xml:space="preserve">, </w:t>
      </w:r>
      <w:r>
        <w:rPr>
          <w:i/>
          <w:iCs/>
        </w:rPr>
        <w:t>114</w:t>
      </w:r>
      <w:r>
        <w:t xml:space="preserve">(30), 7861–7868. </w:t>
      </w:r>
      <w:hyperlink r:id="rId118">
        <w:r>
          <w:rPr>
            <w:rStyle w:val="Hyperlink"/>
          </w:rPr>
          <w:t>https://doi.org/10.1073/pnas.1620738114</w:t>
        </w:r>
      </w:hyperlink>
    </w:p>
    <w:p w14:paraId="788CDD0A" w14:textId="77777777" w:rsidR="0007673E" w:rsidRDefault="00000000" w:rsidP="00FA5CAC">
      <w:pPr>
        <w:pStyle w:val="Bibliography"/>
        <w:jc w:val="both"/>
      </w:pPr>
      <w:bookmarkStart w:id="133" w:name="ref-stout2011a"/>
      <w:bookmarkEnd w:id="132"/>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19">
        <w:r>
          <w:rPr>
            <w:rStyle w:val="Hyperlink"/>
          </w:rPr>
          <w:t>https://doi.org/10.1111/j.1460-9568.2011.07619.x</w:t>
        </w:r>
      </w:hyperlink>
    </w:p>
    <w:p w14:paraId="4F08D1FA" w14:textId="77777777" w:rsidR="0007673E" w:rsidRDefault="00000000" w:rsidP="00FA5CAC">
      <w:pPr>
        <w:pStyle w:val="Bibliography"/>
        <w:jc w:val="both"/>
      </w:pPr>
      <w:bookmarkStart w:id="134" w:name="ref-strachan2021"/>
      <w:bookmarkEnd w:id="133"/>
      <w:r>
        <w:t xml:space="preserve">Strachan, J. W. A., Curioni, A., Constable, M. D., Knoblich, G., &amp; Charbonneau, M. (2021). Evaluating the relative contributions of copying and reconstruction processes in cultural transmission episodes. </w:t>
      </w:r>
      <w:r>
        <w:rPr>
          <w:i/>
          <w:iCs/>
        </w:rPr>
        <w:t>PLOS ONE</w:t>
      </w:r>
      <w:r>
        <w:t xml:space="preserve">, </w:t>
      </w:r>
      <w:r>
        <w:rPr>
          <w:i/>
          <w:iCs/>
        </w:rPr>
        <w:t>16</w:t>
      </w:r>
      <w:r>
        <w:t xml:space="preserve">(9), e0256901. </w:t>
      </w:r>
      <w:hyperlink r:id="rId120">
        <w:r>
          <w:rPr>
            <w:rStyle w:val="Hyperlink"/>
          </w:rPr>
          <w:t>https://doi.org/10.1371/journal.pone.0256901</w:t>
        </w:r>
      </w:hyperlink>
    </w:p>
    <w:p w14:paraId="206C3BB7" w14:textId="77777777" w:rsidR="0007673E" w:rsidRDefault="00000000" w:rsidP="00FA5CAC">
      <w:pPr>
        <w:pStyle w:val="Bibliography"/>
        <w:jc w:val="both"/>
      </w:pPr>
      <w:bookmarkStart w:id="135" w:name="ref-wenban-smith2004"/>
      <w:bookmarkEnd w:id="134"/>
      <w:r>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21">
        <w:r>
          <w:rPr>
            <w:rStyle w:val="Hyperlink"/>
          </w:rPr>
          <w:t>https://eprints.soton.ac.uk/41481/</w:t>
        </w:r>
      </w:hyperlink>
    </w:p>
    <w:p w14:paraId="733B916D" w14:textId="77777777" w:rsidR="0007673E" w:rsidRDefault="00000000" w:rsidP="00FA5CAC">
      <w:pPr>
        <w:pStyle w:val="Bibliography"/>
        <w:jc w:val="both"/>
      </w:pPr>
      <w:bookmarkStart w:id="136" w:name="ref-wenban-smith2000"/>
      <w:bookmarkEnd w:id="135"/>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22">
        <w:r>
          <w:rPr>
            <w:rStyle w:val="Hyperlink"/>
          </w:rPr>
          <w:t>https://doi.org/10.1017/S0079497X0000181X</w:t>
        </w:r>
      </w:hyperlink>
    </w:p>
    <w:p w14:paraId="4F46FA68" w14:textId="77777777" w:rsidR="0007673E" w:rsidRDefault="00000000" w:rsidP="00FA5CAC">
      <w:pPr>
        <w:pStyle w:val="Bibliography"/>
        <w:jc w:val="both"/>
      </w:pPr>
      <w:bookmarkStart w:id="137" w:name="ref-wenger1998"/>
      <w:bookmarkEnd w:id="136"/>
      <w:r>
        <w:t xml:space="preserve">Wenger, E. (1998). </w:t>
      </w:r>
      <w:r>
        <w:rPr>
          <w:i/>
          <w:iCs/>
        </w:rPr>
        <w:t>Communities of practice: Learning, meaning, and identity</w:t>
      </w:r>
      <w:r>
        <w:t>. Cambridge University Press.</w:t>
      </w:r>
    </w:p>
    <w:p w14:paraId="710152B4" w14:textId="77777777" w:rsidR="0007673E" w:rsidRDefault="00000000" w:rsidP="00FA5CAC">
      <w:pPr>
        <w:pStyle w:val="Bibliography"/>
        <w:jc w:val="both"/>
      </w:pPr>
      <w:bookmarkStart w:id="138" w:name="ref-white1998"/>
      <w:bookmarkEnd w:id="137"/>
      <w:r>
        <w:lastRenderedPageBreak/>
        <w:t xml:space="preserve">White, M. J. (1998). On the Significance of Acheulean Biface Variability in Southern Britain. </w:t>
      </w:r>
      <w:r>
        <w:rPr>
          <w:i/>
          <w:iCs/>
        </w:rPr>
        <w:t>Proceedings of the Prehistoric Society</w:t>
      </w:r>
      <w:r>
        <w:t xml:space="preserve">, </w:t>
      </w:r>
      <w:r>
        <w:rPr>
          <w:i/>
          <w:iCs/>
        </w:rPr>
        <w:t>64</w:t>
      </w:r>
      <w:r>
        <w:t xml:space="preserve">, 15–44. </w:t>
      </w:r>
      <w:hyperlink r:id="rId123">
        <w:r>
          <w:rPr>
            <w:rStyle w:val="Hyperlink"/>
          </w:rPr>
          <w:t>https://doi.org/10.1017/S0079497X00002164</w:t>
        </w:r>
      </w:hyperlink>
    </w:p>
    <w:p w14:paraId="5ACEA4F2" w14:textId="77777777" w:rsidR="0007673E" w:rsidRDefault="00000000" w:rsidP="00FA5CAC">
      <w:pPr>
        <w:pStyle w:val="Bibliography"/>
        <w:jc w:val="both"/>
      </w:pPr>
      <w:bookmarkStart w:id="139" w:name="ref-white2022"/>
      <w:bookmarkEnd w:id="138"/>
      <w:r>
        <w:t xml:space="preserve">White, M. J. (2022). </w:t>
      </w:r>
      <w:r>
        <w:rPr>
          <w:i/>
          <w:iCs/>
        </w:rPr>
        <w:t>A global history of the earlier palaeolithic: Assembling the acheulean world, 16732020s</w:t>
      </w:r>
      <w:r>
        <w:t xml:space="preserve"> (1st edition). Routledge.</w:t>
      </w:r>
    </w:p>
    <w:p w14:paraId="449AC4EF" w14:textId="77777777" w:rsidR="0007673E" w:rsidRDefault="00000000" w:rsidP="00FA5CAC">
      <w:pPr>
        <w:pStyle w:val="Bibliography"/>
        <w:jc w:val="both"/>
      </w:pPr>
      <w:bookmarkStart w:id="140" w:name="ref-white1995"/>
      <w:bookmarkEnd w:id="139"/>
      <w:r>
        <w:t xml:space="preserve">White, M. J. (1995). Raw materials and biface variability in southern britain: A preliminary examination. </w:t>
      </w:r>
      <w:r>
        <w:rPr>
          <w:i/>
          <w:iCs/>
        </w:rPr>
        <w:t>LithicsThe Journal of the Lithic Studies Society</w:t>
      </w:r>
      <w:r>
        <w:t xml:space="preserve">, </w:t>
      </w:r>
      <w:r>
        <w:rPr>
          <w:i/>
          <w:iCs/>
        </w:rPr>
        <w:t>15</w:t>
      </w:r>
      <w:r>
        <w:t>, 1–20.</w:t>
      </w:r>
    </w:p>
    <w:p w14:paraId="0081E9AF" w14:textId="77777777" w:rsidR="0007673E" w:rsidRDefault="00000000" w:rsidP="00FA5CAC">
      <w:pPr>
        <w:pStyle w:val="Bibliography"/>
        <w:jc w:val="both"/>
      </w:pPr>
      <w:bookmarkStart w:id="141" w:name="ref-white2018"/>
      <w:bookmarkEnd w:id="140"/>
      <w:r>
        <w:t xml:space="preserve">White, M. J.,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24">
        <w:r>
          <w:rPr>
            <w:rStyle w:val="Hyperlink"/>
          </w:rPr>
          <w:t>https://doi.org/10.15184/aqy.2018.35</w:t>
        </w:r>
      </w:hyperlink>
    </w:p>
    <w:p w14:paraId="12EE7E6C" w14:textId="77777777" w:rsidR="0007673E" w:rsidRDefault="00000000" w:rsidP="00FA5CAC">
      <w:pPr>
        <w:pStyle w:val="Bibliography"/>
        <w:jc w:val="both"/>
      </w:pPr>
      <w:bookmarkStart w:id="142" w:name="ref-whittaker2004"/>
      <w:bookmarkEnd w:id="141"/>
      <w:r>
        <w:t xml:space="preserve">Whittaker, J. C. (2004). </w:t>
      </w:r>
      <w:r>
        <w:rPr>
          <w:i/>
          <w:iCs/>
        </w:rPr>
        <w:t>American Flintknappers: Stone Age Art in the Age of Computers</w:t>
      </w:r>
      <w:r>
        <w:t>. University of Texas Press.</w:t>
      </w:r>
    </w:p>
    <w:p w14:paraId="6274B047" w14:textId="77777777" w:rsidR="0007673E" w:rsidRDefault="00000000" w:rsidP="00FA5CAC">
      <w:pPr>
        <w:pStyle w:val="Bibliography"/>
        <w:jc w:val="both"/>
      </w:pPr>
      <w:bookmarkStart w:id="143" w:name="ref-winton2005"/>
      <w:bookmarkEnd w:id="142"/>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319B7E3B" w14:textId="77777777" w:rsidR="0007673E" w:rsidRDefault="00000000" w:rsidP="00FA5CAC">
      <w:pPr>
        <w:pStyle w:val="Bibliography"/>
        <w:jc w:val="both"/>
      </w:pPr>
      <w:bookmarkStart w:id="144" w:name="ref-wynn2021"/>
      <w:bookmarkEnd w:id="143"/>
      <w:r>
        <w:t xml:space="preserve">Wynn, T. (2021). Ergonomic clusters and displaced affordances in early lithic technology. </w:t>
      </w:r>
      <w:r>
        <w:rPr>
          <w:i/>
          <w:iCs/>
        </w:rPr>
        <w:t>Adaptive Behavior</w:t>
      </w:r>
      <w:r>
        <w:t xml:space="preserve">, </w:t>
      </w:r>
      <w:r>
        <w:rPr>
          <w:i/>
          <w:iCs/>
        </w:rPr>
        <w:t>29</w:t>
      </w:r>
      <w:r>
        <w:t xml:space="preserve">(2), 181–195. </w:t>
      </w:r>
      <w:hyperlink r:id="rId125">
        <w:r>
          <w:rPr>
            <w:rStyle w:val="Hyperlink"/>
          </w:rPr>
          <w:t>https://doi.org/10.1177/1059712320932333</w:t>
        </w:r>
      </w:hyperlink>
    </w:p>
    <w:p w14:paraId="354664EB" w14:textId="77777777" w:rsidR="0007673E" w:rsidRDefault="00000000" w:rsidP="00FA5CAC">
      <w:pPr>
        <w:pStyle w:val="Bibliography"/>
        <w:jc w:val="both"/>
      </w:pPr>
      <w:bookmarkStart w:id="145" w:name="ref-wynn2018"/>
      <w:bookmarkEnd w:id="144"/>
      <w:r>
        <w:t xml:space="preserve">Wynn, T., &amp; Gowlett, J. (2018). The handaxe reconsidered. </w:t>
      </w:r>
      <w:r>
        <w:rPr>
          <w:i/>
          <w:iCs/>
        </w:rPr>
        <w:t>Evolutionary Anthropology: Issues, News, and Reviews</w:t>
      </w:r>
      <w:r>
        <w:t xml:space="preserve">, </w:t>
      </w:r>
      <w:r>
        <w:rPr>
          <w:i/>
          <w:iCs/>
        </w:rPr>
        <w:t>27</w:t>
      </w:r>
      <w:r>
        <w:t xml:space="preserve">(1), 21–29. </w:t>
      </w:r>
      <w:hyperlink r:id="rId126">
        <w:r>
          <w:rPr>
            <w:rStyle w:val="Hyperlink"/>
          </w:rPr>
          <w:t>https://doi.org/10.1002/evan.21552</w:t>
        </w:r>
      </w:hyperlink>
      <w:bookmarkEnd w:id="17"/>
      <w:bookmarkEnd w:id="19"/>
      <w:bookmarkEnd w:id="145"/>
    </w:p>
    <w:sectPr w:rsidR="0007673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5DE31" w14:textId="77777777" w:rsidR="005D2EE0" w:rsidRDefault="005D2EE0">
      <w:pPr>
        <w:spacing w:after="0"/>
      </w:pPr>
      <w:r>
        <w:separator/>
      </w:r>
    </w:p>
  </w:endnote>
  <w:endnote w:type="continuationSeparator" w:id="0">
    <w:p w14:paraId="3D1BF170" w14:textId="77777777" w:rsidR="005D2EE0" w:rsidRDefault="005D2E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F7A08" w14:textId="77777777" w:rsidR="005D2EE0" w:rsidRDefault="005D2EE0">
      <w:r>
        <w:separator/>
      </w:r>
    </w:p>
  </w:footnote>
  <w:footnote w:type="continuationSeparator" w:id="0">
    <w:p w14:paraId="149A4826" w14:textId="77777777" w:rsidR="005D2EE0" w:rsidRDefault="005D2EE0">
      <w:r>
        <w:continuationSeparator/>
      </w:r>
    </w:p>
  </w:footnote>
  <w:footnote w:id="1">
    <w:p w14:paraId="3056BF9D" w14:textId="77777777" w:rsidR="0007673E"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0B01AF92" w14:textId="77777777" w:rsidR="0007673E"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5AB93D18" w14:textId="77777777" w:rsidR="0007673E"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0F699F62" w14:textId="77777777" w:rsidR="0007673E"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 w:numId="2" w16cid:durableId="474875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73E"/>
    <w:rsid w:val="0007673E"/>
    <w:rsid w:val="0057752B"/>
    <w:rsid w:val="005D2EE0"/>
    <w:rsid w:val="00FA5CA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5F7BC"/>
  <w15:docId w15:val="{60B40400-5FF2-410B-A80F-FB9ACB404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80/01977261.2021.1924452" TargetMode="External"/><Relationship Id="rId117" Type="http://schemas.openxmlformats.org/officeDocument/2006/relationships/hyperlink" Target="https://doi.org/10.1016/j.jas.2013.10.001" TargetMode="External"/><Relationship Id="rId21" Type="http://schemas.openxmlformats.org/officeDocument/2006/relationships/hyperlink" Target="https://www.jstor.org/stable/40345992" TargetMode="External"/><Relationship Id="rId42" Type="http://schemas.openxmlformats.org/officeDocument/2006/relationships/hyperlink" Target="https://doi.org/10.2218/jls.4327" TargetMode="External"/><Relationship Id="rId47" Type="http://schemas.openxmlformats.org/officeDocument/2006/relationships/hyperlink" Target="https://doi.org/10.1016/j.jhevol.2010.06.004" TargetMode="External"/><Relationship Id="rId63" Type="http://schemas.openxmlformats.org/officeDocument/2006/relationships/hyperlink" Target="https://doi.org/10.1016/j.crpv.2005.12.003" TargetMode="External"/><Relationship Id="rId68" Type="http://schemas.openxmlformats.org/officeDocument/2006/relationships/hyperlink" Target="https://doi.org/10.1016/j.jhevol.2022.103253" TargetMode="External"/><Relationship Id="rId84" Type="http://schemas.openxmlformats.org/officeDocument/2006/relationships/hyperlink" Target="https://doi.org/10.1371/journal.pone.0158803" TargetMode="External"/><Relationship Id="rId89" Type="http://schemas.openxmlformats.org/officeDocument/2006/relationships/hyperlink" Target="https://doi.org/10.21105/joss.03167" TargetMode="External"/><Relationship Id="rId112" Type="http://schemas.openxmlformats.org/officeDocument/2006/relationships/hyperlink" Target="https://dialnet.unirioja.es/servlet/articulo?codigo=5002455" TargetMode="External"/><Relationship Id="rId16" Type="http://schemas.openxmlformats.org/officeDocument/2006/relationships/image" Target="media/image8.png"/><Relationship Id="rId107" Type="http://schemas.openxmlformats.org/officeDocument/2006/relationships/hyperlink" Target="https://doi.org/10.1016/j.jasrep.2015.06.029" TargetMode="External"/><Relationship Id="rId11" Type="http://schemas.openxmlformats.org/officeDocument/2006/relationships/image" Target="media/image3.png"/><Relationship Id="rId32" Type="http://schemas.openxmlformats.org/officeDocument/2006/relationships/hyperlink" Target="https://doi.org/10.1002/evan.21467" TargetMode="External"/><Relationship Id="rId37" Type="http://schemas.openxmlformats.org/officeDocument/2006/relationships/hyperlink" Target="https://doi.org/10.1007/s10814-007-9013-z" TargetMode="External"/><Relationship Id="rId53" Type="http://schemas.openxmlformats.org/officeDocument/2006/relationships/hyperlink" Target="https://doi.org/10.1371/journal.pone.0177063" TargetMode="External"/><Relationship Id="rId58" Type="http://schemas.openxmlformats.org/officeDocument/2006/relationships/hyperlink" Target="https://doi.org/10.1016/j.jaa.2016.08.002" TargetMode="External"/><Relationship Id="rId74" Type="http://schemas.openxmlformats.org/officeDocument/2006/relationships/hyperlink" Target="https://doi.org/10.1016/j.jas.2006.09.008" TargetMode="External"/><Relationship Id="rId79" Type="http://schemas.openxmlformats.org/officeDocument/2006/relationships/hyperlink" Target="https://doi.org/10.1016/j.crpv.2015.11.007" TargetMode="External"/><Relationship Id="rId102" Type="http://schemas.openxmlformats.org/officeDocument/2006/relationships/hyperlink" Target="https://doi.org/10.1371/journal.pone.0097157" TargetMode="External"/><Relationship Id="rId123" Type="http://schemas.openxmlformats.org/officeDocument/2006/relationships/hyperlink" Target="https://doi.org/10.1017/S0079497X00002164"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oi.org/10.1006/jasc.1996.0145" TargetMode="External"/><Relationship Id="rId95" Type="http://schemas.openxmlformats.org/officeDocument/2006/relationships/hyperlink" Target="https://doi.org/10.1038/369311a0" TargetMode="External"/><Relationship Id="rId22" Type="http://schemas.openxmlformats.org/officeDocument/2006/relationships/hyperlink" Target="https://doi.org/10.1038/s42003-021-02768-w" TargetMode="External"/><Relationship Id="rId27" Type="http://schemas.openxmlformats.org/officeDocument/2006/relationships/hyperlink" Target="https://doi.org/10.1016/j.jasrep.2020.102649" TargetMode="External"/><Relationship Id="rId43" Type="http://schemas.openxmlformats.org/officeDocument/2006/relationships/hyperlink" Target="https://doi.org/10.1007/s10816-018-9376-0" TargetMode="External"/><Relationship Id="rId48" Type="http://schemas.openxmlformats.org/officeDocument/2006/relationships/hyperlink" Target="https://doi.org/10.1016/j.jasrep.2015.02.002" TargetMode="External"/><Relationship Id="rId64" Type="http://schemas.openxmlformats.org/officeDocument/2006/relationships/hyperlink" Target="https://doi.org/10.18637/jss.v025.i01" TargetMode="External"/><Relationship Id="rId69" Type="http://schemas.openxmlformats.org/officeDocument/2006/relationships/hyperlink" Target="https://doi.org/10.1007/s10816-013-9200-9" TargetMode="External"/><Relationship Id="rId113" Type="http://schemas.openxmlformats.org/officeDocument/2006/relationships/hyperlink" Target="https://doi.org/10.1080/00438243.2012.725889" TargetMode="External"/><Relationship Id="rId118" Type="http://schemas.openxmlformats.org/officeDocument/2006/relationships/hyperlink" Target="https://doi.org/10.1073/pnas.1620738114" TargetMode="External"/><Relationship Id="rId80" Type="http://schemas.openxmlformats.org/officeDocument/2006/relationships/hyperlink" Target="https://doi.org/10.1016/j.crpv.2015.09.009" TargetMode="External"/><Relationship Id="rId85" Type="http://schemas.openxmlformats.org/officeDocument/2006/relationships/hyperlink" Target="https://doi.org/10.1017/S0140525X02330073"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06/jhev.1993.1043" TargetMode="External"/><Relationship Id="rId38" Type="http://schemas.openxmlformats.org/officeDocument/2006/relationships/hyperlink" Target="https://doi.org/10.1016/j.jas.2014.05.034" TargetMode="External"/><Relationship Id="rId59" Type="http://schemas.openxmlformats.org/officeDocument/2006/relationships/hyperlink" Target="https://doi.org/10.7183/2326-3768.1.1.37" TargetMode="External"/><Relationship Id="rId103" Type="http://schemas.openxmlformats.org/officeDocument/2006/relationships/hyperlink" Target="https://doi.org/10.1007/s10816-016-9280-4" TargetMode="External"/><Relationship Id="rId108" Type="http://schemas.openxmlformats.org/officeDocument/2006/relationships/hyperlink" Target="https://doi.org/10.1016/j.jhevol.2013.03.007" TargetMode="External"/><Relationship Id="rId124" Type="http://schemas.openxmlformats.org/officeDocument/2006/relationships/hyperlink" Target="https://doi.org/10.15184/aqy.2018.35" TargetMode="External"/><Relationship Id="rId54" Type="http://schemas.openxmlformats.org/officeDocument/2006/relationships/hyperlink" Target="https://doi.org/10.1371/journal.pone.0048333" TargetMode="External"/><Relationship Id="rId70" Type="http://schemas.openxmlformats.org/officeDocument/2006/relationships/hyperlink" Target="https://www.jstor.org/stable/40388215" TargetMode="External"/><Relationship Id="rId75" Type="http://schemas.openxmlformats.org/officeDocument/2006/relationships/hyperlink" Target="https://doi.org/10.1007/s10816-015-9272-9" TargetMode="External"/><Relationship Id="rId91" Type="http://schemas.openxmlformats.org/officeDocument/2006/relationships/hyperlink" Target="https://doi.org/10.1093/acprof:oso/9780198522638.003.0018" TargetMode="External"/><Relationship Id="rId96" Type="http://schemas.openxmlformats.org/officeDocument/2006/relationships/hyperlink" Target="https://doi.org/10.1017/S0079497X0001384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16/j.quaint.2015.11.094" TargetMode="External"/><Relationship Id="rId28" Type="http://schemas.openxmlformats.org/officeDocument/2006/relationships/hyperlink" Target="https://doi.org/10.1016/j.jasrep.2021.103121" TargetMode="External"/><Relationship Id="rId49" Type="http://schemas.openxmlformats.org/officeDocument/2006/relationships/hyperlink" Target="https://doi.org/10.24885/sab.v31i2.613" TargetMode="External"/><Relationship Id="rId114" Type="http://schemas.openxmlformats.org/officeDocument/2006/relationships/hyperlink" Target="https://doi.org/10.1111/j.1525-142X.2004.04035.x" TargetMode="External"/><Relationship Id="rId119" Type="http://schemas.openxmlformats.org/officeDocument/2006/relationships/hyperlink" Target="https://doi.org/10.1111/j.1460-9568.2011.07619.x" TargetMode="External"/><Relationship Id="rId44" Type="http://schemas.openxmlformats.org/officeDocument/2006/relationships/hyperlink" Target="https://www.frontiersin.org/articles/10.3389/feart.2022.917207" TargetMode="External"/><Relationship Id="rId60" Type="http://schemas.openxmlformats.org/officeDocument/2006/relationships/hyperlink" Target="https://doi.org/10.1017/S0003598X00065078" TargetMode="External"/><Relationship Id="rId65" Type="http://schemas.openxmlformats.org/officeDocument/2006/relationships/hyperlink" Target="https://doi.org/10.1002/gea.21904" TargetMode="External"/><Relationship Id="rId81" Type="http://schemas.openxmlformats.org/officeDocument/2006/relationships/hyperlink" Target="https://doi.org/10.1016/j.crpv.2015.09.010" TargetMode="External"/><Relationship Id="rId86" Type="http://schemas.openxmlformats.org/officeDocument/2006/relationships/hyperlink" Target="http://www.upcolorado.com/book/Stone_Tools_and_the_Evolution_of_Human_Cognition_Paper"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1371/journal.pone.0013718" TargetMode="External"/><Relationship Id="rId109" Type="http://schemas.openxmlformats.org/officeDocument/2006/relationships/hyperlink" Target="https://doi.org/10.1017/S0003598X00098987" TargetMode="External"/><Relationship Id="rId34" Type="http://schemas.openxmlformats.org/officeDocument/2006/relationships/hyperlink" Target="https://doi.org/10.1016/j.jaa.2019.101107" TargetMode="External"/><Relationship Id="rId50" Type="http://schemas.openxmlformats.org/officeDocument/2006/relationships/hyperlink" Target="https://doi.org/10.1016/j.quascirev.2009.02.024" TargetMode="External"/><Relationship Id="rId55" Type="http://schemas.openxmlformats.org/officeDocument/2006/relationships/hyperlink" Target="https://doi.org/10.1016/j.crpv.2019.04.008" TargetMode="External"/><Relationship Id="rId76" Type="http://schemas.openxmlformats.org/officeDocument/2006/relationships/hyperlink" Target="https://doi.org/10.1086/423973" TargetMode="External"/><Relationship Id="rId97" Type="http://schemas.openxmlformats.org/officeDocument/2006/relationships/hyperlink" Target="https://doi.org/10.1080/00438243.1995.9980293" TargetMode="External"/><Relationship Id="rId104" Type="http://schemas.openxmlformats.org/officeDocument/2006/relationships/hyperlink" Target="https://doi.org/10.1016/j.evolhumbehav.2015.04.003" TargetMode="External"/><Relationship Id="rId120" Type="http://schemas.openxmlformats.org/officeDocument/2006/relationships/hyperlink" Target="https://doi.org/10.1371/journal.pone.0256901" TargetMode="External"/><Relationship Id="rId125" Type="http://schemas.openxmlformats.org/officeDocument/2006/relationships/hyperlink" Target="https://doi.org/10.1177/1059712320932333" TargetMode="External"/><Relationship Id="rId7" Type="http://schemas.openxmlformats.org/officeDocument/2006/relationships/image" Target="media/image1.jpg"/><Relationship Id="rId71" Type="http://schemas.openxmlformats.org/officeDocument/2006/relationships/hyperlink" Target="https://doi.org/10.1016/j.quaint.2015.08.021" TargetMode="External"/><Relationship Id="rId92" Type="http://schemas.openxmlformats.org/officeDocument/2006/relationships/hyperlink" Target="https://doi.org/10.4324/9780203203279" TargetMode="External"/><Relationship Id="rId2" Type="http://schemas.openxmlformats.org/officeDocument/2006/relationships/styles" Target="styles.xml"/><Relationship Id="rId29" Type="http://schemas.openxmlformats.org/officeDocument/2006/relationships/hyperlink" Target="https://doi.org/10.1163/15685373-12340145" TargetMode="External"/><Relationship Id="rId24" Type="http://schemas.openxmlformats.org/officeDocument/2006/relationships/hyperlink" Target="https://doi.org/10.1016/j.jas.2009.04.014" TargetMode="External"/><Relationship Id="rId40" Type="http://schemas.openxmlformats.org/officeDocument/2006/relationships/hyperlink" Target="https://doi.org/10.2307/1164979" TargetMode="External"/><Relationship Id="rId45" Type="http://schemas.openxmlformats.org/officeDocument/2006/relationships/hyperlink" Target="https://doi.org/10.1177/1059712320965713" TargetMode="External"/><Relationship Id="rId66" Type="http://schemas.openxmlformats.org/officeDocument/2006/relationships/hyperlink" Target="https://doi.org/10.1017/ehs.2020.35" TargetMode="External"/><Relationship Id="rId87" Type="http://schemas.openxmlformats.org/officeDocument/2006/relationships/hyperlink" Target="https://doi.org/10.1016/j.jhevol.2020.102807" TargetMode="External"/><Relationship Id="rId110" Type="http://schemas.openxmlformats.org/officeDocument/2006/relationships/hyperlink" Target="https://doi.org/10.1016/j.jasrep.2020.102352" TargetMode="External"/><Relationship Id="rId115" Type="http://schemas.openxmlformats.org/officeDocument/2006/relationships/hyperlink" Target="https://doi.org/10.1016/j.tics.2021.07.005" TargetMode="External"/><Relationship Id="rId61" Type="http://schemas.openxmlformats.org/officeDocument/2006/relationships/hyperlink" Target="https://doi.org/10.1007/s10816-021-09521-x" TargetMode="External"/><Relationship Id="rId82" Type="http://schemas.openxmlformats.org/officeDocument/2006/relationships/hyperlink" Target="https://doi.org/10.1017/S0959774320000190"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oi.org/10.1037/0012-1649.25.6.894" TargetMode="External"/><Relationship Id="rId35" Type="http://schemas.openxmlformats.org/officeDocument/2006/relationships/hyperlink" Target="https://doi.org/10.1016/j.jas.2014.04.008" TargetMode="External"/><Relationship Id="rId56" Type="http://schemas.openxmlformats.org/officeDocument/2006/relationships/hyperlink" Target="https://doi.org/10.1007/s10816-016-9276-0" TargetMode="External"/><Relationship Id="rId77" Type="http://schemas.openxmlformats.org/officeDocument/2006/relationships/hyperlink" Target="https://doi.org/10.1016/j.jasrep.2015.06.004" TargetMode="External"/><Relationship Id="rId100" Type="http://schemas.openxmlformats.org/officeDocument/2006/relationships/hyperlink" Target="https://doi.org/10.7183/0002-7316.79.1.128" TargetMode="External"/><Relationship Id="rId105" Type="http://schemas.openxmlformats.org/officeDocument/2006/relationships/hyperlink" Target="https://doi.org/10.1016/j.jas.2007.09.004" TargetMode="External"/><Relationship Id="rId126" Type="http://schemas.openxmlformats.org/officeDocument/2006/relationships/hyperlink" Target="https://doi.org/10.1002/evan.21552" TargetMode="External"/><Relationship Id="rId8" Type="http://schemas.openxmlformats.org/officeDocument/2006/relationships/hyperlink" Target="https://neolithics.com/" TargetMode="External"/><Relationship Id="rId51" Type="http://schemas.openxmlformats.org/officeDocument/2006/relationships/hyperlink" Target="https://doi.org/10.1017/S0959774321000251" TargetMode="External"/><Relationship Id="rId72" Type="http://schemas.openxmlformats.org/officeDocument/2006/relationships/hyperlink" Target="https://doi.org/10.1016/j.jas.2005.10.014" TargetMode="External"/><Relationship Id="rId93" Type="http://schemas.openxmlformats.org/officeDocument/2006/relationships/hyperlink" Target="https://doi.org/10.1002/jqs.3409" TargetMode="External"/><Relationship Id="rId98" Type="http://schemas.openxmlformats.org/officeDocument/2006/relationships/hyperlink" Target="https://doi.org/10.1186/s12859-017-1934-z" TargetMode="External"/><Relationship Id="rId121" Type="http://schemas.openxmlformats.org/officeDocument/2006/relationships/hyperlink" Target="https://eprints.soton.ac.uk/41481/" TargetMode="External"/><Relationship Id="rId3" Type="http://schemas.openxmlformats.org/officeDocument/2006/relationships/settings" Target="settings.xml"/><Relationship Id="rId25" Type="http://schemas.openxmlformats.org/officeDocument/2006/relationships/hyperlink" Target="https://www.jstor.org/stable/40914177" TargetMode="External"/><Relationship Id="rId46" Type="http://schemas.openxmlformats.org/officeDocument/2006/relationships/hyperlink" Target="https://doi.org/10.1016/j.jasrep.2017.05.013" TargetMode="External"/><Relationship Id="rId67" Type="http://schemas.openxmlformats.org/officeDocument/2006/relationships/hyperlink" Target="https://doi.org/10.1002/evan.21964" TargetMode="External"/><Relationship Id="rId116" Type="http://schemas.openxmlformats.org/officeDocument/2006/relationships/hyperlink" Target="https://doi.org/10.1086/342638" TargetMode="External"/><Relationship Id="rId20" Type="http://schemas.openxmlformats.org/officeDocument/2006/relationships/hyperlink" Target="https://doi.org/10.1016/j.jhevol.2021.103011" TargetMode="External"/><Relationship Id="rId41" Type="http://schemas.openxmlformats.org/officeDocument/2006/relationships/hyperlink" Target="https://doi.org/10.1007/s41982-020-00054-5" TargetMode="External"/><Relationship Id="rId62" Type="http://schemas.openxmlformats.org/officeDocument/2006/relationships/hyperlink" Target="https://doi.org/10.1098/rspb.2015.1019" TargetMode="External"/><Relationship Id="rId83" Type="http://schemas.openxmlformats.org/officeDocument/2006/relationships/hyperlink" Target="https://doi.org/10.1080/00438243.2011.624778" TargetMode="External"/><Relationship Id="rId88" Type="http://schemas.openxmlformats.org/officeDocument/2006/relationships/hyperlink" Target="https://doi.org/10.1016/j.jhevol.2019.05.010" TargetMode="External"/><Relationship Id="rId111" Type="http://schemas.openxmlformats.org/officeDocument/2006/relationships/hyperlink" Target="https://doi.org/10.1016/j.jas.2013.05.002" TargetMode="External"/><Relationship Id="rId15" Type="http://schemas.openxmlformats.org/officeDocument/2006/relationships/image" Target="media/image7.png"/><Relationship Id="rId36" Type="http://schemas.openxmlformats.org/officeDocument/2006/relationships/hyperlink" Target="https://doi.org/10.1016/j.jaa.2005.08.001" TargetMode="External"/><Relationship Id="rId57" Type="http://schemas.openxmlformats.org/officeDocument/2006/relationships/hyperlink" Target="https://doi.org/10.1111/arcm.12439" TargetMode="External"/><Relationship Id="rId106" Type="http://schemas.openxmlformats.org/officeDocument/2006/relationships/hyperlink" Target="https://doi.org/10.1016/j.jhevol.2009.11.012" TargetMode="External"/><Relationship Id="rId127" Type="http://schemas.openxmlformats.org/officeDocument/2006/relationships/fontTable" Target="fontTable.xml"/><Relationship Id="rId10" Type="http://schemas.openxmlformats.org/officeDocument/2006/relationships/hyperlink" Target="https://github.com/Raylc/Boxgrove-Exp" TargetMode="External"/><Relationship Id="rId31" Type="http://schemas.openxmlformats.org/officeDocument/2006/relationships/hyperlink" Target="https://doi.org/10.1002/evan.21864" TargetMode="External"/><Relationship Id="rId52" Type="http://schemas.openxmlformats.org/officeDocument/2006/relationships/hyperlink" Target="https://doi.org/10.1016/j.jhevol.2011.02.007" TargetMode="External"/><Relationship Id="rId73" Type="http://schemas.openxmlformats.org/officeDocument/2006/relationships/hyperlink" Target="https://doi.org/10.1007/s10816-004-1420-6" TargetMode="External"/><Relationship Id="rId78" Type="http://schemas.openxmlformats.org/officeDocument/2006/relationships/hyperlink" Target="https://pdf.printfriendly.com/pdfs/make" TargetMode="External"/><Relationship Id="rId94" Type="http://schemas.openxmlformats.org/officeDocument/2006/relationships/hyperlink" Target="https://www.R-project.org/" TargetMode="External"/><Relationship Id="rId99" Type="http://schemas.openxmlformats.org/officeDocument/2006/relationships/hyperlink" Target="https://doi.org/10.1177/2515245918808784" TargetMode="External"/><Relationship Id="rId101" Type="http://schemas.openxmlformats.org/officeDocument/2006/relationships/hyperlink" Target="https://doi.org/10.7183/0002-7316.79.1.128" TargetMode="External"/><Relationship Id="rId122" Type="http://schemas.openxmlformats.org/officeDocument/2006/relationships/hyperlink" Target="https://doi.org/10.1017/S0079497X0000181X" TargetMode="External"/><Relationship Id="rId4" Type="http://schemas.openxmlformats.org/officeDocument/2006/relationships/webSettings" Target="web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12959</Words>
  <Characters>73870</Characters>
  <Application>Microsoft Office Word</Application>
  <DocSecurity>0</DocSecurity>
  <Lines>615</Lines>
  <Paragraphs>173</Paragraphs>
  <ScaleCrop>false</ScaleCrop>
  <Company/>
  <LinksUpToDate>false</LinksUpToDate>
  <CharactersWithSpaces>86656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Liu;Nada Khreisheh;Dietrich Stout;Justin Pargeter</dc:creator>
  <cp:keywords/>
  <cp:lastModifiedBy>Liu Cheng</cp:lastModifiedBy>
  <cp:revision>3</cp:revision>
  <dcterms:created xsi:type="dcterms:W3CDTF">2023-02-04T20:34:00Z</dcterms:created>
  <dcterms:modified xsi:type="dcterms:W3CDTF">2023-02-04T20:35:00Z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differnetial effect in the cultural reproduction of different aspects of handaxe morphology. More specifically, compared with elongation and pointedness (PC2), cross-sectional thinning (PC1) is more constrained by knapping skill. It also confirmed that reaching the skill level of modern experts requires more training time than was permitted in this extensive and long-running (90-hour)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